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header+xml" PartName="/word/header10.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header+xml" PartName="/word/header13.xml"/>
  <Override ContentType="application/vnd.openxmlformats-officedocument.wordprocessingml.header+xml" PartName="/word/header14.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header+xml" PartName="/word/header15.xml"/>
  <Override ContentType="application/vnd.openxmlformats-officedocument.wordprocessingml.header+xml" PartName="/word/header16.xml"/>
  <Override ContentType="application/vnd.openxmlformats-officedocument.wordprocessingml.footer+xml" PartName="/word/footer15.xml"/>
  <Override ContentType="application/vnd.openxmlformats-officedocument.wordprocessingml.footer+xml" PartName="/word/footer16.xml"/>
  <Override ContentType="application/vnd.openxmlformats-officedocument.wordprocessingml.header+xml" PartName="/word/header17.xml"/>
  <Override ContentType="application/vnd.openxmlformats-officedocument.wordprocessingml.header+xml" PartName="/word/header18.xml"/>
  <Override ContentType="application/vnd.openxmlformats-officedocument.wordprocessingml.footer+xml" PartName="/word/footer17.xml"/>
  <Override ContentType="application/vnd.openxmlformats-officedocument.wordprocessingml.footer+xml" PartName="/word/footer18.xml"/>
  <Override ContentType="application/vnd.openxmlformats-officedocument.wordprocessingml.header+xml" PartName="/word/header19.xml"/>
  <Override ContentType="application/vnd.openxmlformats-officedocument.wordprocessingml.header+xml" PartName="/word/header20.xml"/>
  <Override ContentType="application/vnd.openxmlformats-officedocument.wordprocessingml.footer+xml" PartName="/word/footer19.xml"/>
  <Override ContentType="application/vnd.openxmlformats-officedocument.wordprocessingml.footer+xml" PartName="/word/footer20.xml"/>
  <Override ContentType="application/vnd.openxmlformats-officedocument.wordprocessingml.header+xml" PartName="/word/header21.xml"/>
  <Override ContentType="application/vnd.openxmlformats-officedocument.wordprocessingml.header+xml" PartName="/word/header22.xml"/>
  <Override ContentType="application/vnd.openxmlformats-officedocument.wordprocessingml.footer+xml" PartName="/word/footer21.xml"/>
  <Override ContentType="application/vnd.openxmlformats-officedocument.wordprocessingml.footer+xml" PartName="/word/footer22.xml"/>
  <Override ContentType="application/vnd.openxmlformats-officedocument.wordprocessingml.header+xml" PartName="/word/header23.xml"/>
  <Override ContentType="application/vnd.openxmlformats-officedocument.wordprocessingml.header+xml" PartName="/word/header24.xml"/>
  <Override ContentType="application/vnd.openxmlformats-officedocument.wordprocessingml.footer+xml" PartName="/word/footer23.xml"/>
  <Override ContentType="application/vnd.openxmlformats-officedocument.wordprocessingml.footer+xml" PartName="/word/footer24.xml"/>
  <Override ContentType="application/vnd.openxmlformats-officedocument.wordprocessingml.header+xml" PartName="/word/header25.xml"/>
  <Override ContentType="application/vnd.openxmlformats-officedocument.wordprocessingml.header+xml" PartName="/word/header26.xml"/>
  <Override ContentType="application/vnd.openxmlformats-officedocument.wordprocessingml.footer+xml" PartName="/word/footer25.xml"/>
  <Override ContentType="application/vnd.openxmlformats-officedocument.wordprocessingml.footer+xml" PartName="/word/footer26.xml"/>
  <Override ContentType="application/vnd.openxmlformats-officedocument.wordprocessingml.header+xml" PartName="/word/header27.xml"/>
  <Override ContentType="application/vnd.openxmlformats-officedocument.wordprocessingml.header+xml" PartName="/word/header28.xml"/>
  <Override ContentType="application/vnd.openxmlformats-officedocument.wordprocessingml.footer+xml" PartName="/word/footer27.xml"/>
  <Override ContentType="application/vnd.openxmlformats-officedocument.wordprocessingml.footer+xml" PartName="/word/footer28.xml"/>
  <Override ContentType="application/vnd.openxmlformats-officedocument.wordprocessingml.header+xml" PartName="/word/header29.xml"/>
  <Override ContentType="application/vnd.openxmlformats-officedocument.wordprocessingml.header+xml" PartName="/word/header30.xml"/>
  <Override ContentType="application/vnd.openxmlformats-officedocument.wordprocessingml.footer+xml" PartName="/word/footer29.xml"/>
  <Override ContentType="application/vnd.openxmlformats-officedocument.wordprocessingml.footer+xml" PartName="/word/footer30.xml"/>
  <Override ContentType="application/vnd.openxmlformats-officedocument.wordprocessingml.header+xml" PartName="/word/header31.xml"/>
  <Override ContentType="application/vnd.openxmlformats-officedocument.wordprocessingml.header+xml" PartName="/word/header32.xml"/>
  <Override ContentType="application/vnd.openxmlformats-officedocument.wordprocessingml.footer+xml" PartName="/word/footer31.xml"/>
  <Override ContentType="application/vnd.openxmlformats-officedocument.wordprocessingml.footer+xml" PartName="/word/footer32.xml"/>
  <Override ContentType="application/vnd.openxmlformats-officedocument.wordprocessingml.header+xml" PartName="/word/header33.xml"/>
  <Override ContentType="application/vnd.openxmlformats-officedocument.wordprocessingml.header+xml" PartName="/word/header34.xml"/>
  <Override ContentType="application/vnd.openxmlformats-officedocument.wordprocessingml.footer+xml" PartName="/word/footer33.xml"/>
  <Override ContentType="application/vnd.openxmlformats-officedocument.wordprocessingml.footer+xml" PartName="/word/footer34.xml"/>
  <Override ContentType="application/vnd.openxmlformats-officedocument.wordprocessingml.header+xml" PartName="/word/header35.xml"/>
  <Override ContentType="application/vnd.openxmlformats-officedocument.wordprocessingml.header+xml" PartName="/word/header36.xml"/>
  <Override ContentType="application/vnd.openxmlformats-officedocument.wordprocessingml.footer+xml" PartName="/word/footer35.xml"/>
  <Override ContentType="application/vnd.openxmlformats-officedocument.wordprocessingml.footer+xml" PartName="/word/footer36.xml"/>
  <Override ContentType="application/vnd.openxmlformats-officedocument.wordprocessingml.header+xml" PartName="/word/header37.xml"/>
  <Override ContentType="application/vnd.openxmlformats-officedocument.wordprocessingml.header+xml" PartName="/word/header38.xml"/>
  <Override ContentType="application/vnd.openxmlformats-officedocument.wordprocessingml.footer+xml" PartName="/word/footer37.xml"/>
  <Override ContentType="application/vnd.openxmlformats-officedocument.wordprocessingml.footer+xml" PartName="/word/footer38.xml"/>
  <Override ContentType="application/vnd.openxmlformats-officedocument.wordprocessingml.header+xml" PartName="/word/header39.xml"/>
  <Override ContentType="application/vnd.openxmlformats-officedocument.wordprocessingml.header+xml" PartName="/word/header40.xml"/>
  <Override ContentType="application/vnd.openxmlformats-officedocument.wordprocessingml.footer+xml" PartName="/word/footer39.xml"/>
  <Override ContentType="application/vnd.openxmlformats-officedocument.wordprocessingml.footer+xml" PartName="/word/footer40.xml"/>
  <Override ContentType="application/vnd.openxmlformats-officedocument.wordprocessingml.header+xml" PartName="/word/header41.xml"/>
  <Override ContentType="application/vnd.openxmlformats-officedocument.wordprocessingml.header+xml" PartName="/word/header42.xml"/>
  <Override ContentType="application/vnd.openxmlformats-officedocument.wordprocessingml.footer+xml" PartName="/word/footer41.xml"/>
  <Override ContentType="application/vnd.openxmlformats-officedocument.wordprocessingml.footer+xml" PartName="/word/footer42.xml"/>
  <Override ContentType="application/vnd.openxmlformats-officedocument.wordprocessingml.header+xml" PartName="/word/header43.xml"/>
  <Override ContentType="application/vnd.openxmlformats-officedocument.wordprocessingml.header+xml" PartName="/word/header44.xml"/>
  <Override ContentType="application/vnd.openxmlformats-officedocument.wordprocessingml.footer+xml" PartName="/word/footer43.xml"/>
  <Override ContentType="application/vnd.openxmlformats-officedocument.wordprocessingml.footer+xml" PartName="/word/footer44.xml"/>
  <Override ContentType="application/vnd.openxmlformats-officedocument.wordprocessingml.header+xml" PartName="/word/header45.xml"/>
  <Override ContentType="application/vnd.openxmlformats-officedocument.wordprocessingml.header+xml" PartName="/word/header46.xml"/>
  <Override ContentType="application/vnd.openxmlformats-officedocument.wordprocessingml.footer+xml" PartName="/word/footer45.xml"/>
  <Override ContentType="application/vnd.openxmlformats-officedocument.wordprocessingml.footer+xml" PartName="/word/footer46.xml"/>
  <Override ContentType="application/vnd.openxmlformats-officedocument.wordprocessingml.header+xml" PartName="/word/header47.xml"/>
  <Override ContentType="application/vnd.openxmlformats-officedocument.wordprocessingml.header+xml" PartName="/word/header48.xml"/>
  <Override ContentType="application/vnd.openxmlformats-officedocument.wordprocessingml.footer+xml" PartName="/word/footer47.xml"/>
  <Override ContentType="application/vnd.openxmlformats-officedocument.wordprocessingml.footer+xml" PartName="/word/footer48.xml"/>
  <Override ContentType="application/vnd.openxmlformats-officedocument.wordprocessingml.header+xml" PartName="/word/header49.xml"/>
  <Override ContentType="application/vnd.openxmlformats-officedocument.wordprocessingml.header+xml" PartName="/word/header50.xml"/>
  <Override ContentType="application/vnd.openxmlformats-officedocument.wordprocessingml.footer+xml" PartName="/word/footer49.xml"/>
  <Override ContentType="application/vnd.openxmlformats-officedocument.wordprocessingml.footer+xml" PartName="/word/footer50.xml"/>
  <Override ContentType="application/vnd.openxmlformats-officedocument.wordprocessingml.header+xml" PartName="/word/header51.xml"/>
  <Override ContentType="application/vnd.openxmlformats-officedocument.wordprocessingml.header+xml" PartName="/word/header52.xml"/>
  <Override ContentType="application/vnd.openxmlformats-officedocument.wordprocessingml.footer+xml" PartName="/word/footer51.xml"/>
  <Override ContentType="application/vnd.openxmlformats-officedocument.wordprocessingml.footer+xml" PartName="/word/footer52.xml"/>
  <Override ContentType="application/vnd.openxmlformats-officedocument.wordprocessingml.header+xml" PartName="/word/header53.xml"/>
  <Override ContentType="application/vnd.openxmlformats-officedocument.wordprocessingml.header+xml" PartName="/word/header54.xml"/>
  <Override ContentType="application/vnd.openxmlformats-officedocument.wordprocessingml.footer+xml" PartName="/word/footer53.xml"/>
  <Override ContentType="application/vnd.openxmlformats-officedocument.wordprocessingml.footer+xml" PartName="/word/footer54.xml"/>
  <Override ContentType="application/vnd.openxmlformats-officedocument.wordprocessingml.header+xml" PartName="/word/header55.xml"/>
  <Override ContentType="application/vnd.openxmlformats-officedocument.wordprocessingml.header+xml" PartName="/word/header56.xml"/>
  <Override ContentType="application/vnd.openxmlformats-officedocument.wordprocessingml.footer+xml" PartName="/word/footer55.xml"/>
  <Override ContentType="application/vnd.openxmlformats-officedocument.wordprocessingml.footer+xml" PartName="/word/footer56.xml"/>
  <Override ContentType="application/vnd.openxmlformats-officedocument.wordprocessingml.header+xml" PartName="/word/header57.xml"/>
  <Override ContentType="application/vnd.openxmlformats-officedocument.wordprocessingml.header+xml" PartName="/word/header58.xml"/>
  <Override ContentType="application/vnd.openxmlformats-officedocument.wordprocessingml.footer+xml" PartName="/word/footer57.xml"/>
  <Override ContentType="application/vnd.openxmlformats-officedocument.wordprocessingml.footer+xml" PartName="/word/footer58.xml"/>
  <Override ContentType="application/vnd.openxmlformats-officedocument.wordprocessingml.header+xml" PartName="/word/header59.xml"/>
  <Override ContentType="application/vnd.openxmlformats-officedocument.wordprocessingml.header+xml" PartName="/word/header60.xml"/>
  <Override ContentType="application/vnd.openxmlformats-officedocument.wordprocessingml.footer+xml" PartName="/word/footer59.xml"/>
  <Override ContentType="application/vnd.openxmlformats-officedocument.wordprocessingml.footer+xml" PartName="/word/footer60.xml"/>
  <Override ContentType="application/vnd.openxmlformats-officedocument.wordprocessingml.header+xml" PartName="/word/header61.xml"/>
  <Override ContentType="application/vnd.openxmlformats-officedocument.wordprocessingml.header+xml" PartName="/word/header62.xml"/>
  <Override ContentType="application/vnd.openxmlformats-officedocument.wordprocessingml.footer+xml" PartName="/word/footer61.xml"/>
  <Override ContentType="application/vnd.openxmlformats-officedocument.wordprocessingml.footer+xml" PartName="/word/footer62.xml"/>
  <Override PartName="/word/header63.xml" ContentType="application/vnd.openxmlformats-officedocument.wordprocessingml.header+xml"/>
  <Override PartName="/word/header64.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65.xml" ContentType="application/vnd.openxmlformats-officedocument.wordprocessingml.header+xml"/>
  <Override PartName="/word/header66.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header70.xml" ContentType="application/vnd.openxmlformats-officedocument.wordprocessingml.header+xml"/>
  <Override PartName="/word/footer69.xml" ContentType="application/vnd.openxmlformats-officedocument.wordprocessingml.footer+xml"/>
  <Override PartName="/word/footer70.xml" ContentType="application/vnd.openxmlformats-officedocument.wordprocessingml.footer+xml"/>
  <Override PartName="/word/header71.xml" ContentType="application/vnd.openxmlformats-officedocument.wordprocessingml.header+xml"/>
  <Override PartName="/word/header72.xml" ContentType="application/vnd.openxmlformats-officedocument.wordprocessingml.header+xml"/>
  <Override PartName="/word/footer71.xml" ContentType="application/vnd.openxmlformats-officedocument.wordprocessingml.footer+xml"/>
  <Override PartName="/word/footer72.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color w:val="A67C1A"/>
          <w:sz w:val="40"/>
          <w:szCs w:val="40"/>
        </w:rPr>
        <w:t xml:space="preserve">❦</w:t>
      </w:r>
    </w:p>
    <w:p>
      <w:pPr>
        <w:spacing w:after="120"/>
        <w:jc w:val="center"/>
      </w:pPr>
      <w:r>
        <w:rPr>
          <w:b/>
          <w:bCs/>
          <w:color w:val="1F3864"/>
          <w:spacing w:val="40"/>
          <w:sz w:val="64"/>
          <w:szCs w:val="64"/>
        </w:rPr>
        <w:t xml:space="preserve">LEADERS’</w:t>
      </w:r>
    </w:p>
    <w:p>
      <w:pPr>
        <w:spacing w:after="120"/>
        <w:jc w:val="center"/>
      </w:pPr>
      <w:r>
        <w:rPr>
          <w:b/>
          <w:bCs/>
          <w:color w:val="1F3864"/>
          <w:spacing w:val="40"/>
          <w:sz w:val="64"/>
          <w:szCs w:val="64"/>
        </w:rPr>
        <w:t xml:space="preserve">PITFALLS</w:t>
      </w:r>
    </w:p>
    <w:p>
      <w:pPr>
        <w:pBdr>
          <w:bottom w:val="single" w:color="A67C1A" w:sz="8" w:space="1"/>
        </w:pBdr>
        <w:spacing w:after="240" w:before="120"/>
        <w:ind w:left="2048" w:right="2048"/>
        <w:jc w:val="center"/>
      </w:pPr>
    </w:p>
    <w:p>
      <w:pPr>
        <w:spacing w:after="1400" w:line="300"/>
        <w:ind w:left="360" w:right="360"/>
        <w:jc w:val="center"/>
      </w:pPr>
      <w:r>
        <w:rPr>
          <w:i/>
          <w:iCs/>
          <w:color w:val="555555"/>
          <w:sz w:val="25"/>
          <w:szCs w:val="25"/>
        </w:rPr>
        <w:t xml:space="preserve">Tracing the Snares of Leadership from Scripture, Imperial Rome and the Early Church to the Present Day</w:t>
      </w:r>
    </w:p>
    <w:p>
      <w:pPr>
        <w:spacing w:after="80"/>
        <w:jc w:val="center"/>
      </w:pPr>
      <w:r>
        <w:rPr>
          <w:smallCaps/>
          <w:color w:val="A67C1A"/>
          <w:spacing w:val="20"/>
          <w:sz w:val="21"/>
          <w:szCs w:val="21"/>
        </w:rPr>
        <w:t xml:space="preserve">With a Book of Maxims for Leaders</w:t>
      </w:r>
    </w:p>
    <w:p>
      <w:pPr>
        <w:spacing w:before="900"/>
        <w:jc w:val="center"/>
      </w:pPr>
      <w:r>
        <w:rPr>
          <w:smallCaps/>
          <w:color w:val="1F3864"/>
          <w:sz w:val="26"/>
          <w:szCs w:val="26"/>
        </w:rPr>
        <w:t xml:space="preserve">Ebimobo-Owei Donatus Tambou, Ph.D.</w:t>
      </w:r>
    </w:p>
    <w:p>
      <w:pPr>
        <w:sectPr>
          <w:headerReference w:type="default" r:id="rId7"/>
          <w:headerReference w:type="first" r:id="rId8"/>
          <w:footerReference w:type="default" r:id="rId9"/>
          <w:footerReference w:type="first" r:id="rId10"/>
          <w:type w:val="nextPage"/>
          <w:pgSz w:w="8640" w:h="12960" w:orient="portrait"/>
          <w:pgMar w:top="1080" w:right="936" w:bottom="1008" w:left="1008" w:header="560" w:footer="520" w:gutter="0"/>
          <w:pgNumType w:start="1" w:fmt="lowerRoman"/>
          <w:vAlign w:val="center"/>
          <w:titlePg/>
          <w:docGrid w:linePitch="360"/>
        </w:sectPr>
      </w:pPr>
    </w:p>
    <w:p>
      <w:pPr>
        <w:spacing w:after="140" w:line="264"/>
      </w:pPr>
      <w:r>
        <w:rPr>
          <w:i/>
          <w:iCs/>
          <w:color w:val="555555"/>
          <w:sz w:val="18"/>
          <w:szCs w:val="18"/>
        </w:rPr>
        <w:t xml:space="preserve">Leaders’ Pitfalls: Tracing the Snares of Leadership from Scripture, Imperial Rome and the Early Church to the Present Day</w:t>
      </w:r>
    </w:p>
    <w:p>
      <w:pPr>
        <w:spacing w:after="140" w:line="264"/>
      </w:pPr>
      <w:r>
        <w:rPr>
          <w:color w:val="555555"/>
          <w:sz w:val="18"/>
          <w:szCs w:val="18"/>
        </w:rPr>
        <w:t xml:space="preserve">Copyright © 2026 Ebimobo-Owei Donatus Tambou, Ph.D.</w:t>
      </w:r>
    </w:p>
    <w:p>
      <w:pPr>
        <w:spacing w:after="140" w:line="264"/>
      </w:pPr>
      <w:r>
        <w:rPr>
          <w:color w:val="555555"/>
          <w:sz w:val="18"/>
          <w:szCs w:val="18"/>
        </w:rPr>
        <w:t xml:space="preserve">All rights reserved. No part of this publication may be reproduced, stored in a retrieval system or transmitted in any form or by any means without the prior written permission of the author, except for brief quotations in reviews and scholarly works.</w:t>
      </w:r>
    </w:p>
    <w:p>
      <w:pPr>
        <w:spacing w:after="140" w:line="264"/>
      </w:pPr>
      <w:r>
        <w:rPr>
          <w:color w:val="555555"/>
          <w:sz w:val="18"/>
          <w:szCs w:val="18"/>
        </w:rPr>
        <w:t xml:space="preserve">Unless otherwise indicated, Scripture quotations are taken from the King James Version (Authorised Version). Quotations from patristic and classical sources are given in the author’s paraphrase or from the standard translations listed in the Select Bibliography.</w:t>
      </w:r>
    </w:p>
    <w:p>
      <w:pPr>
        <w:spacing w:after="140" w:line="264"/>
      </w:pPr>
      <w:r>
        <w:rPr>
          <w:color w:val="555555"/>
          <w:sz w:val="18"/>
          <w:szCs w:val="18"/>
        </w:rPr>
        <w:t xml:space="preserve">Accounts of contemporary church leaders are drawn from matters already in the public record and are included for instruction, not condemnation.</w:t>
      </w:r>
    </w:p>
    <w:p>
      <w:pPr>
        <w:spacing w:after="140" w:line="264"/>
      </w:pPr>
      <w:r>
        <w:rPr>
          <w:color w:val="555555"/>
          <w:sz w:val="18"/>
          <w:szCs w:val="18"/>
        </w:rPr>
        <w:t xml:space="preserve">First edition, 2026.</w:t>
      </w:r>
    </w:p>
    <w:p>
      <w:pPr>
        <w:sectPr>
          <w:headerReference w:type="default" r:id="rId11"/>
          <w:headerReference w:type="first" r:id="rId12"/>
          <w:footerReference w:type="default" r:id="rId13"/>
          <w:footerReference w:type="first" r:id="rId14"/>
          <w:type w:val="nextPage"/>
          <w:pgSz w:w="8640" w:h="12960" w:orient="portrait"/>
          <w:pgMar w:top="1080" w:right="936" w:bottom="1008" w:left="1008" w:header="560" w:footer="520" w:gutter="0"/>
          <w:pgNumType w:fmt="lowerRoman"/>
          <w:vAlign w:val="bottom"/>
          <w:titlePg/>
          <w:docGrid w:linePitch="360"/>
        </w:sectPr>
      </w:pPr>
    </w:p>
    <w:p>
      <w:pPr>
        <w:spacing w:before="0" w:after="360" w:line="360"/>
        <w:jc w:val="center"/>
      </w:pPr>
      <w:r>
        <w:rPr>
          <w:color w:val="A67C1A"/>
          <w:sz w:val="36"/>
          <w:szCs w:val="36"/>
        </w:rPr>
        <w:t xml:space="preserve">❦</w:t>
      </w:r>
    </w:p>
    <w:p>
      <w:pPr>
        <w:spacing w:before="0" w:after="360" w:line="360"/>
        <w:jc w:val="center"/>
      </w:pPr>
      <w:r>
        <w:rPr>
          <w:b/>
          <w:bCs/>
          <w:color w:val="A67C1A"/>
          <w:spacing w:val="60"/>
          <w:sz w:val="20"/>
          <w:szCs w:val="20"/>
        </w:rPr>
        <w:t xml:space="preserve">DEDICATION</w:t>
      </w:r>
    </w:p>
    <w:p>
      <w:pPr>
        <w:spacing w:before="0" w:after="0" w:line="360"/>
        <w:jc w:val="center"/>
      </w:pPr>
      <w:r>
        <w:rPr>
          <w:i/>
          <w:iCs/>
          <w:color w:val="1F3864"/>
          <w:sz w:val="24"/>
          <w:szCs w:val="24"/>
        </w:rPr>
        <w:t xml:space="preserve">To my mother,</w:t>
      </w:r>
    </w:p>
    <w:p>
      <w:pPr>
        <w:spacing w:before="0" w:after="0" w:line="360"/>
        <w:jc w:val="center"/>
      </w:pPr>
      <w:r>
        <w:rPr>
          <w:i/>
          <w:iCs/>
          <w:color w:val="1F3864"/>
          <w:sz w:val="24"/>
          <w:szCs w:val="24"/>
        </w:rPr>
        <w:t xml:space="preserve">who never sat in a classroom,</w:t>
      </w:r>
    </w:p>
    <w:p>
      <w:pPr>
        <w:spacing w:before="0" w:after="0" w:line="360"/>
        <w:jc w:val="center"/>
      </w:pPr>
      <w:r>
        <w:rPr>
          <w:i/>
          <w:iCs/>
          <w:color w:val="1F3864"/>
          <w:sz w:val="24"/>
          <w:szCs w:val="24"/>
        </w:rPr>
        <w:t xml:space="preserve">yet raised thirteen children and saw eleven of them through university.</w:t>
      </w:r>
    </w:p>
    <w:p>
      <w:pPr>
        <w:spacing w:before="0" w:after="0" w:line="360"/>
        <w:jc w:val="center"/>
      </w:pPr>
      <w:r>
        <w:rPr>
          <w:i/>
          <w:iCs/>
          <w:color w:val="1F3864"/>
          <w:sz w:val="24"/>
          <w:szCs w:val="24"/>
        </w:rPr>
        <w:t xml:space="preserve">Her hunger for learning became my calling.</w:t>
      </w:r>
    </w:p>
    <w:p>
      <w:pPr>
        <w:spacing w:before="0" w:after="0" w:line="360"/>
        <w:jc w:val="center"/>
      </w:pPr>
    </w:p>
    <w:p>
      <w:pPr>
        <w:spacing w:before="0" w:after="0" w:line="360"/>
        <w:jc w:val="center"/>
      </w:pPr>
      <w:r>
        <w:rPr>
          <w:i/>
          <w:iCs/>
          <w:color w:val="1F3864"/>
          <w:sz w:val="24"/>
          <w:szCs w:val="24"/>
        </w:rPr>
        <w:t xml:space="preserve">And to every servant of God who carries the weight of others:</w:t>
      </w:r>
    </w:p>
    <w:p>
      <w:pPr>
        <w:spacing w:before="0" w:after="0" w:line="360"/>
        <w:jc w:val="center"/>
      </w:pPr>
      <w:r>
        <w:rPr>
          <w:i/>
          <w:iCs/>
          <w:color w:val="1F3864"/>
          <w:sz w:val="24"/>
          <w:szCs w:val="24"/>
        </w:rPr>
        <w:t xml:space="preserve">may you walk carefully, lead humbly and finish well.</w:t>
      </w:r>
    </w:p>
    <w:p>
      <w:pPr>
        <w:spacing w:before="600" w:after="0" w:line="360"/>
        <w:jc w:val="center"/>
      </w:pPr>
      <w:r>
        <w:rPr>
          <w:i/>
          <w:iCs/>
          <w:color w:val="555555"/>
          <w:sz w:val="20"/>
          <w:szCs w:val="20"/>
        </w:rPr>
        <w:t xml:space="preserve">Now unto him that is able to keep you from falling …</w:t>
      </w:r>
    </w:p>
    <w:p>
      <w:pPr>
        <w:spacing w:before="0" w:after="0" w:line="360"/>
        <w:jc w:val="center"/>
      </w:pPr>
      <w:r>
        <w:rPr>
          <w:color w:val="A67C1A"/>
          <w:sz w:val="18"/>
          <w:szCs w:val="18"/>
        </w:rPr>
        <w:t xml:space="preserve">— Jude 24</w:t>
      </w:r>
    </w:p>
    <w:p>
      <w:pPr>
        <w:sectPr>
          <w:headerReference w:type="default" r:id="rId132"/>
          <w:headerReference w:type="first" r:id="rId133"/>
          <w:footerReference w:type="default" r:id="rId134"/>
          <w:footerReference w:type="first" r:id="rId135"/>
          <w:type w:val="nextPage"/>
          <w:pgSz w:w="8640" w:h="12960" w:orient="portrait"/>
          <w:pgMar w:top="1080" w:right="936" w:bottom="1008" w:left="1008" w:header="560" w:footer="520" w:gutter="0"/>
          <w:pgNumType w:fmt="lowerRoman"/>
          <w:vAlign w:val="center"/>
          <w:titlePg/>
          <w:docGrid w:linePitch="360"/>
        </w:sectPr>
      </w:pPr>
    </w:p>
    <w:p>
      <w:pPr>
        <w:spacing w:after="80" w:before="200"/>
        <w:jc w:val="center"/>
      </w:pPr>
      <w:r>
        <w:rPr>
          <w:color w:val="1F3864"/>
          <w:spacing w:val="80"/>
          <w:sz w:val="30"/>
          <w:szCs w:val="30"/>
        </w:rPr>
        <w:t xml:space="preserve">CONTENTS</w:t>
      </w:r>
    </w:p>
    <w:p>
      <w:pPr>
        <w:pBdr>
          <w:bottom w:val="single" w:color="A67C1A" w:sz="8" w:space="1"/>
        </w:pBdr>
        <w:spacing w:after="240" w:before="120"/>
        <w:ind w:left="2448" w:right="2448"/>
        <w:jc w:val="center"/>
      </w:pPr>
    </w:p>
    <w:p>
      <w:pPr>
        <w:tabs>
          <w:tab w:val="right" w:pos="6696" w:leader="dot"/>
        </w:tabs>
        <w:spacing w:after="30" w:before="160" w:line="240"/>
        <w:ind w:left="300" w:right="560" w:hanging="300"/>
      </w:pPr>
      <w:hyperlink w:anchor="toc_ack">
        <w:r>
          <w:rPr>
            <w:sz w:val="20"/>
            <w:szCs w:val="20"/>
          </w:rPr>
          <w:t xml:space="preserve">Acknowledgements	vi</w:t>
        </w:r>
      </w:hyperlink>
    </w:p>
    <w:p>
      <w:pPr>
        <w:tabs>
          <w:tab w:val="right" w:pos="6696" w:leader="dot"/>
        </w:tabs>
        <w:spacing w:after="30" w:before="160" w:line="240"/>
        <w:ind w:left="300" w:right="560" w:hanging="300"/>
      </w:pPr>
      <w:hyperlink w:anchor="toc_preface">
        <w:r>
          <w:rPr>
            <w:sz w:val="20"/>
            <w:szCs w:val="20"/>
          </w:rPr>
          <w:t xml:space="preserve">Preface	vii</w:t>
        </w:r>
      </w:hyperlink>
    </w:p>
    <w:p>
      <w:pPr>
        <w:tabs>
          <w:tab w:val="right" w:pos="6696" w:leader="dot"/>
        </w:tabs>
        <w:spacing w:after="30" w:before="160" w:line="240"/>
        <w:ind w:left="300" w:right="560" w:hanging="300"/>
      </w:pPr>
      <w:hyperlink w:anchor="toc_aboutbook">
        <w:r>
          <w:rPr>
            <w:sz w:val="20"/>
            <w:szCs w:val="20"/>
          </w:rPr>
          <w:t xml:space="preserve">About This Book	ix</w:t>
        </w:r>
      </w:hyperlink>
    </w:p>
    <w:p>
      <w:pPr>
        <w:tabs>
          <w:tab w:val="right" w:pos="6696" w:leader="dot"/>
        </w:tabs>
        <w:spacing w:after="30" w:before="160" w:line="240"/>
        <w:ind w:left="300" w:right="560" w:hanging="300"/>
      </w:pPr>
      <w:hyperlink w:anchor="toc_54">
        <w:r>
          <w:rPr>
            <w:sz w:val="20"/>
            <w:szCs w:val="20"/>
          </w:rPr>
          <w:t xml:space="preserve">Introduction: The Snare Beside the Path	1</w:t>
        </w:r>
      </w:hyperlink>
    </w:p>
    <w:p>
      <w:pPr>
        <w:keepNext/>
        <w:spacing w:after="60" w:before="180"/>
      </w:pPr>
      <w:r>
        <w:rPr>
          <w:b/>
          <w:bCs/>
          <w:color w:val="A67C1A"/>
          <w:spacing w:val="30"/>
          <w:sz w:val="18"/>
          <w:szCs w:val="18"/>
        </w:rPr>
        <w:t xml:space="preserve">PART ONE: FOUNDATIONS</w:t>
      </w:r>
    </w:p>
    <w:p>
      <w:pPr>
        <w:tabs>
          <w:tab w:val="right" w:pos="6696" w:leader="dot"/>
        </w:tabs>
        <w:spacing w:after="30" w:before="160" w:line="240"/>
        <w:ind w:left="300" w:right="560" w:hanging="300"/>
      </w:pPr>
      <w:hyperlink w:anchor="toc_69">
        <w:r>
          <w:rPr>
            <w:sz w:val="20"/>
            <w:szCs w:val="20"/>
          </w:rPr>
          <w:t xml:space="preserve">1. Why Leaders Fall: The Anatomy of a Pitfall	4</w:t>
        </w:r>
      </w:hyperlink>
    </w:p>
    <w:p>
      <w:pPr>
        <w:tabs>
          <w:tab w:val="right" w:pos="6696" w:leader="dot"/>
        </w:tabs>
        <w:spacing w:after="30" w:before="160" w:line="240"/>
        <w:ind w:left="300" w:right="560" w:hanging="300"/>
      </w:pPr>
      <w:hyperlink w:anchor="toc_102">
        <w:r>
          <w:rPr>
            <w:sz w:val="20"/>
            <w:szCs w:val="20"/>
          </w:rPr>
          <w:t xml:space="preserve">2. Power in the Shadow of Rome: Leadership in the World of the New Testament	9</w:t>
        </w:r>
      </w:hyperlink>
    </w:p>
    <w:p>
      <w:pPr>
        <w:keepNext/>
        <w:spacing w:after="60" w:before="180"/>
      </w:pPr>
      <w:r>
        <w:rPr>
          <w:b/>
          <w:bCs/>
          <w:color w:val="A67C1A"/>
          <w:spacing w:val="30"/>
          <w:sz w:val="18"/>
          <w:szCs w:val="18"/>
        </w:rPr>
        <w:t xml:space="preserve">PART TWO: PITFALLS TRACED THROUGH SCRIPTURE</w:t>
      </w:r>
    </w:p>
    <w:p>
      <w:pPr>
        <w:tabs>
          <w:tab w:val="right" w:pos="6696" w:leader="dot"/>
        </w:tabs>
        <w:spacing w:after="30" w:before="160" w:line="240"/>
        <w:ind w:left="300" w:right="560" w:hanging="300"/>
      </w:pPr>
      <w:hyperlink w:anchor="toc_144">
        <w:r>
          <w:rPr>
            <w:sz w:val="20"/>
            <w:szCs w:val="20"/>
          </w:rPr>
          <w:t xml:space="preserve">3. Pride: The Pitfall Beneath All Pitfalls	15</w:t>
        </w:r>
      </w:hyperlink>
    </w:p>
    <w:p>
      <w:pPr>
        <w:tabs>
          <w:tab w:val="right" w:pos="6696" w:leader="dot"/>
        </w:tabs>
        <w:spacing w:after="30" w:before="160" w:line="240"/>
        <w:ind w:left="300" w:right="560" w:hanging="300"/>
      </w:pPr>
      <w:hyperlink w:anchor="toc_171">
        <w:r>
          <w:rPr>
            <w:sz w:val="20"/>
            <w:szCs w:val="20"/>
          </w:rPr>
          <w:t xml:space="preserve">4. Greed: The Love of Money and the Price of Ministry	19</w:t>
        </w:r>
      </w:hyperlink>
    </w:p>
    <w:p>
      <w:pPr>
        <w:tabs>
          <w:tab w:val="right" w:pos="6696" w:leader="dot"/>
        </w:tabs>
        <w:spacing w:after="30" w:before="160" w:line="240"/>
        <w:ind w:left="300" w:right="560" w:hanging="300"/>
      </w:pPr>
      <w:hyperlink w:anchor="toc_198">
        <w:r>
          <w:rPr>
            <w:sz w:val="20"/>
            <w:szCs w:val="20"/>
          </w:rPr>
          <w:t xml:space="preserve">5. Sexual Immorality: The Pitfall of Unguarded Desire	23</w:t>
        </w:r>
      </w:hyperlink>
    </w:p>
    <w:p>
      <w:pPr>
        <w:tabs>
          <w:tab w:val="right" w:pos="6696" w:leader="dot"/>
        </w:tabs>
        <w:spacing w:after="30" w:before="160" w:line="240"/>
        <w:ind w:left="300" w:right="560" w:hanging="300"/>
      </w:pPr>
      <w:hyperlink w:anchor="toc_227">
        <w:r>
          <w:rPr>
            <w:sz w:val="20"/>
            <w:szCs w:val="20"/>
          </w:rPr>
          <w:t xml:space="preserve">6. Abuse of Power: Lording It Over God’s Heritage	27</w:t>
        </w:r>
      </w:hyperlink>
    </w:p>
    <w:p>
      <w:pPr>
        <w:tabs>
          <w:tab w:val="right" w:pos="6696" w:leader="dot"/>
        </w:tabs>
        <w:spacing w:after="30" w:before="160" w:line="240"/>
        <w:ind w:left="300" w:right="560" w:hanging="300"/>
      </w:pPr>
      <w:hyperlink w:anchor="toc_252">
        <w:r>
          <w:rPr>
            <w:sz w:val="20"/>
            <w:szCs w:val="20"/>
          </w:rPr>
          <w:t xml:space="preserve">7. Jealousy and Insecurity: When Another’s Success Becomes a Threat	31</w:t>
        </w:r>
      </w:hyperlink>
    </w:p>
    <w:p>
      <w:pPr>
        <w:tabs>
          <w:tab w:val="right" w:pos="6696" w:leader="dot"/>
        </w:tabs>
        <w:spacing w:after="30" w:before="160" w:line="240"/>
        <w:ind w:left="300" w:right="560" w:hanging="300"/>
      </w:pPr>
      <w:hyperlink w:anchor="toc_278">
        <w:r>
          <w:rPr>
            <w:sz w:val="20"/>
            <w:szCs w:val="20"/>
          </w:rPr>
          <w:t xml:space="preserve">8. The Fear of People: When Approval Replaces Obedience	34</w:t>
        </w:r>
      </w:hyperlink>
    </w:p>
    <w:p>
      <w:pPr>
        <w:tabs>
          <w:tab w:val="right" w:pos="6696" w:leader="dot"/>
        </w:tabs>
        <w:spacing w:after="30" w:before="160" w:line="240"/>
        <w:ind w:left="300" w:right="560" w:hanging="300"/>
      </w:pPr>
      <w:hyperlink w:anchor="toc_304">
        <w:r>
          <w:rPr>
            <w:sz w:val="20"/>
            <w:szCs w:val="20"/>
          </w:rPr>
          <w:t xml:space="preserve">9. Anger and the Unguarded Tongue	37</w:t>
        </w:r>
      </w:hyperlink>
    </w:p>
    <w:p>
      <w:pPr>
        <w:tabs>
          <w:tab w:val="right" w:pos="6696" w:leader="dot"/>
        </w:tabs>
        <w:spacing w:after="30" w:before="160" w:line="240"/>
        <w:ind w:left="300" w:right="560" w:hanging="300"/>
      </w:pPr>
      <w:hyperlink w:anchor="toc_340">
        <w:r>
          <w:rPr>
            <w:sz w:val="20"/>
            <w:szCs w:val="20"/>
          </w:rPr>
          <w:t xml:space="preserve">10. Presumption and Partial Obedience: Doing God’s Work in One’s Own Way	42</w:t>
        </w:r>
      </w:hyperlink>
    </w:p>
    <w:p>
      <w:pPr>
        <w:tabs>
          <w:tab w:val="right" w:pos="6696" w:leader="dot"/>
        </w:tabs>
        <w:spacing w:after="30" w:before="160" w:line="240"/>
        <w:ind w:left="300" w:right="560" w:hanging="300"/>
      </w:pPr>
      <w:hyperlink w:anchor="toc_367">
        <w:r>
          <w:rPr>
            <w:sz w:val="20"/>
            <w:szCs w:val="20"/>
          </w:rPr>
          <w:t xml:space="preserve">11. Isolation and Burnout: The Leader Who Carries Too Much	46</w:t>
        </w:r>
      </w:hyperlink>
    </w:p>
    <w:p>
      <w:pPr>
        <w:tabs>
          <w:tab w:val="right" w:pos="6696" w:leader="dot"/>
        </w:tabs>
        <w:spacing w:after="30" w:before="160" w:line="240"/>
        <w:ind w:left="300" w:right="560" w:hanging="300"/>
      </w:pPr>
      <w:hyperlink w:anchor="toc_395">
        <w:r>
          <w:rPr>
            <w:sz w:val="20"/>
            <w:szCs w:val="20"/>
          </w:rPr>
          <w:t xml:space="preserve">12. Neglect of Family and Failure of Succession	50</w:t>
        </w:r>
      </w:hyperlink>
    </w:p>
    <w:p>
      <w:pPr>
        <w:tabs>
          <w:tab w:val="right" w:pos="6696" w:leader="dot"/>
        </w:tabs>
        <w:spacing w:after="30" w:before="160" w:line="240"/>
        <w:ind w:left="300" w:right="560" w:hanging="300"/>
      </w:pPr>
      <w:hyperlink w:anchor="toc_423">
        <w:r>
          <w:rPr>
            <w:sz w:val="20"/>
            <w:szCs w:val="20"/>
          </w:rPr>
          <w:t xml:space="preserve">13. Finishing Badly: Drift, Compromise and Self-Reliance	54</w:t>
        </w:r>
      </w:hyperlink>
    </w:p>
    <w:p>
      <w:pPr>
        <w:keepNext/>
        <w:spacing w:after="60" w:before="180"/>
      </w:pPr>
      <w:r>
        <w:rPr>
          <w:b/>
          <w:bCs/>
          <w:color w:val="A67C1A"/>
          <w:spacing w:val="30"/>
          <w:sz w:val="18"/>
          <w:szCs w:val="18"/>
        </w:rPr>
        <w:t xml:space="preserve">PART THREE: WITNESSES ACROSS THE CENTURIES</w:t>
      </w:r>
    </w:p>
    <w:p>
      <w:pPr>
        <w:tabs>
          <w:tab w:val="right" w:pos="6696" w:leader="dot"/>
        </w:tabs>
        <w:spacing w:after="30" w:before="160" w:line="240"/>
        <w:ind w:left="300" w:right="560" w:hanging="300"/>
      </w:pPr>
      <w:hyperlink w:anchor="toc_455">
        <w:r>
          <w:rPr>
            <w:sz w:val="20"/>
            <w:szCs w:val="20"/>
          </w:rPr>
          <w:t xml:space="preserve">14. The Early Church Fathers on the Perils of Office	59</w:t>
        </w:r>
      </w:hyperlink>
    </w:p>
    <w:p>
      <w:pPr>
        <w:tabs>
          <w:tab w:val="right" w:pos="6696" w:leader="dot"/>
        </w:tabs>
        <w:spacing w:after="30" w:before="160" w:line="240"/>
        <w:ind w:left="300" w:right="560" w:hanging="300"/>
      </w:pPr>
      <w:hyperlink w:anchor="toc_498">
        <w:r>
          <w:rPr>
            <w:sz w:val="20"/>
            <w:szCs w:val="20"/>
          </w:rPr>
          <w:t xml:space="preserve">15. When Caesar Became a Patron: Constantine and the Perils of Imperial Favour	65</w:t>
        </w:r>
      </w:hyperlink>
    </w:p>
    <w:p>
      <w:pPr>
        <w:tabs>
          <w:tab w:val="right" w:pos="6696" w:leader="dot"/>
        </w:tabs>
        <w:spacing w:after="30" w:before="160" w:line="240"/>
        <w:ind w:left="300" w:right="560" w:hanging="300"/>
      </w:pPr>
      <w:hyperlink w:anchor="toc_539">
        <w:r>
          <w:rPr>
            <w:sz w:val="20"/>
            <w:szCs w:val="20"/>
          </w:rPr>
          <w:t xml:space="preserve">16. Contemporary Church Leaders: Falls, Lessons and Faithful Examples	71</w:t>
        </w:r>
      </w:hyperlink>
    </w:p>
    <w:p>
      <w:pPr>
        <w:tabs>
          <w:tab w:val="right" w:pos="6696" w:leader="dot"/>
        </w:tabs>
        <w:spacing w:after="30" w:before="160" w:line="240"/>
        <w:ind w:left="300" w:right="560" w:hanging="300"/>
      </w:pPr>
      <w:hyperlink w:anchor="toc_581">
        <w:r>
          <w:rPr>
            <w:sz w:val="20"/>
            <w:szCs w:val="20"/>
          </w:rPr>
          <w:t xml:space="preserve">17. Contemporary Implications for Africa and Nigeria	77</w:t>
        </w:r>
      </w:hyperlink>
    </w:p>
    <w:p>
      <w:pPr>
        <w:keepNext/>
        <w:spacing w:after="60" w:before="180"/>
      </w:pPr>
      <w:r>
        <w:rPr>
          <w:b/>
          <w:bCs/>
          <w:color w:val="A67C1A"/>
          <w:spacing w:val="30"/>
          <w:sz w:val="18"/>
          <w:szCs w:val="18"/>
        </w:rPr>
        <w:t xml:space="preserve">PART FOUR: GUARDING THE HEART</w:t>
      </w:r>
    </w:p>
    <w:p>
      <w:pPr>
        <w:tabs>
          <w:tab w:val="right" w:pos="6696" w:leader="dot"/>
        </w:tabs>
        <w:spacing w:after="30" w:before="160" w:line="240"/>
        <w:ind w:left="300" w:right="560" w:hanging="300"/>
      </w:pPr>
      <w:hyperlink w:anchor="toc_624">
        <w:r>
          <w:rPr>
            <w:sz w:val="20"/>
            <w:szCs w:val="20"/>
          </w:rPr>
          <w:t xml:space="preserve">18. Safeguards: Building a Life That Does Not Fall	83</w:t>
        </w:r>
      </w:hyperlink>
    </w:p>
    <w:p>
      <w:pPr>
        <w:tabs>
          <w:tab w:val="right" w:pos="6696" w:leader="dot"/>
        </w:tabs>
        <w:spacing w:after="30" w:before="160" w:line="240"/>
        <w:ind w:left="300" w:right="560" w:hanging="300"/>
      </w:pPr>
      <w:hyperlink w:anchor="toc_669">
        <w:r>
          <w:rPr>
            <w:sz w:val="20"/>
            <w:szCs w:val="20"/>
          </w:rPr>
          <w:t xml:space="preserve">19. Maxims for Leaders: Short Sayings for Long Faithfulness	88</w:t>
        </w:r>
      </w:hyperlink>
    </w:p>
    <w:p>
      <w:pPr>
        <w:tabs>
          <w:tab w:val="right" w:pos="6696" w:leader="dot"/>
        </w:tabs>
        <w:spacing w:after="30" w:before="160" w:line="240"/>
        <w:ind w:left="300" w:right="560" w:hanging="300"/>
      </w:pPr>
      <w:hyperlink w:anchor="toc_801">
        <w:r>
          <w:rPr>
            <w:sz w:val="20"/>
            <w:szCs w:val="20"/>
          </w:rPr>
          <w:t xml:space="preserve">Conclusion: Finishing Well	95</w:t>
        </w:r>
      </w:hyperlink>
    </w:p>
    <w:p>
      <w:pPr>
        <w:tabs>
          <w:tab w:val="right" w:pos="6696" w:leader="dot"/>
        </w:tabs>
        <w:spacing w:after="30" w:before="160" w:line="240"/>
        <w:ind w:left="300" w:right="560" w:hanging="300"/>
      </w:pPr>
      <w:hyperlink w:anchor="toc_817">
        <w:r>
          <w:rPr>
            <w:sz w:val="20"/>
            <w:szCs w:val="20"/>
          </w:rPr>
          <w:t xml:space="preserve">Endnotes	97</w:t>
        </w:r>
      </w:hyperlink>
    </w:p>
    <w:p>
      <w:pPr>
        <w:tabs>
          <w:tab w:val="right" w:pos="6696" w:leader="dot"/>
        </w:tabs>
        <w:spacing w:after="30" w:before="160" w:line="240"/>
        <w:ind w:left="300" w:right="560" w:hanging="300"/>
      </w:pPr>
      <w:hyperlink w:anchor="toc_908">
        <w:r>
          <w:rPr>
            <w:sz w:val="20"/>
            <w:szCs w:val="20"/>
          </w:rPr>
          <w:t xml:space="preserve">Select Bibliography	102</w:t>
        </w:r>
      </w:hyperlink>
    </w:p>
    <w:p>
      <w:pPr>
        <w:tabs>
          <w:tab w:val="right" w:pos="6696" w:leader="dot"/>
        </w:tabs>
        <w:spacing w:after="30" w:before="160" w:line="240"/>
        <w:ind w:left="300" w:right="560" w:hanging="300"/>
      </w:pPr>
      <w:hyperlink w:anchor="toc_rec">
        <w:r>
          <w:rPr>
            <w:sz w:val="20"/>
            <w:szCs w:val="20"/>
          </w:rPr>
          <w:t xml:space="preserve">Recommended Books	106</w:t>
        </w:r>
      </w:hyperlink>
    </w:p>
    <w:p>
      <w:pPr>
        <w:tabs>
          <w:tab w:val="right" w:pos="6696" w:leader="dot"/>
        </w:tabs>
        <w:spacing w:after="30" w:before="160" w:line="240"/>
        <w:ind w:left="300" w:right="560" w:hanging="300"/>
      </w:pPr>
      <w:hyperlink w:anchor="toc_author">
        <w:r>
          <w:rPr>
            <w:sz w:val="20"/>
            <w:szCs w:val="20"/>
          </w:rPr>
          <w:t xml:space="preserve">About the Author	111</w:t>
        </w:r>
      </w:hyperlink>
    </w:p>
    <w:p>
      <w:pPr>
        <w:sectPr>
          <w:headerReference w:type="default" r:id="rId15"/>
          <w:headerReference w:type="first" r:id="rId16"/>
          <w:footerReference w:type="default" r:id="rId17"/>
          <w:footerReference w:type="first" r:id="rId18"/>
          <w:type w:val="nextPage"/>
          <w:pgSz w:w="8640" w:h="12960" w:orient="portrait"/>
          <w:pgMar w:top="1080" w:right="936" w:bottom="1008" w:left="1008" w:header="560" w:footer="520" w:gutter="0"/>
          <w:pgNumType w:fmt="lowerRoman"/>
          <w:titlePg/>
          <w:docGrid w:linePitch="360"/>
        </w:sectPr>
      </w:pPr>
    </w:p>
    <w:p>
      <w:pPr>
        <w:spacing w:after="160" w:before="1300"/>
        <w:jc w:val="center"/>
      </w:pPr>
      <w:r>
        <w:rPr>
          <w:b/>
          <w:bCs/>
          <w:color w:val="A67C1A"/>
          <w:spacing w:val="60"/>
          <w:sz w:val="20"/>
          <w:szCs w:val="20"/>
        </w:rPr>
        <w:t xml:space="preserve">ACKNOWLEDGEMENTS</w:t>
      </w:r>
    </w:p>
    <w:p>
      <w:pPr>
        <w:pStyle w:val="Heading1"/>
      </w:pPr>
      <w:bookmarkStart w:id="1097" w:name="toc_ack"/>
      <w:r>
        <w:t xml:space="preserve">With Gratitude</w:t>
      </w:r>
      <w:bookmarkEnd w:id="1097"/>
    </w:p>
    <w:p>
      <w:pPr>
        <w:pBdr>
          <w:bottom w:val="single" w:color="A67C1A" w:sz="8" w:space="1"/>
        </w:pBdr>
        <w:spacing w:after="240" w:before="120"/>
        <w:ind w:left="2448" w:right="2448"/>
        <w:jc w:val="center"/>
      </w:pPr>
    </w:p>
    <w:p>
      <w:pPr>
        <w:pStyle w:val="BodyFirst"/>
      </w:pPr>
      <w:r>
        <w:t xml:space="preserve">No book is written alone, and this one owes more than I can repay. My first and deepest thanks are to God, the Father of our Lord Jesus Christ, who called me into his service and who has, by his mercy alone, kept me standing on paths where many stronger than I have fallen. Whatever is true and helpful in these pages is his gift; whatever is lacking is mine.</w:t>
      </w:r>
    </w:p>
    <w:p>
      <w:pPr>
        <w:pStyle w:val="Body"/>
      </w:pPr>
      <w:r>
        <w:t xml:space="preserve">I am grateful to the leadership, faculty and staff of the Redeemed Christian Theological College, whose commitment to forming men and women of both learning and godliness has been the setting for much of my reflection on leadership. Many of the questions this book tries to answer were first asked in lecture halls, in corridors and in quiet conversations with colleagues who share the burden of preparing the next generation of ministers.</w:t>
      </w:r>
    </w:p>
    <w:p>
      <w:pPr>
        <w:pStyle w:val="Body"/>
      </w:pPr>
      <w:r>
        <w:t xml:space="preserve">To my students, past and present, I owe a special debt. Your questions, your honesty about the pressures of ministry and your hunger to serve God faithfully have sharpened my thinking and deepened my convictions. This book was written with you in mind.</w:t>
      </w:r>
    </w:p>
    <w:p>
      <w:pPr>
        <w:pStyle w:val="Body"/>
      </w:pPr>
      <w:r>
        <w:t xml:space="preserve">I thank the pastors, ministers and church workers whose lives have modelled for me what it means to lead without lording, to serve without self-seeking, and to remain accountable in seasons of success. Some of them will never know how much their quiet faithfulness has taught me.</w:t>
      </w:r>
    </w:p>
    <w:p>
      <w:pPr>
        <w:pStyle w:val="Body"/>
      </w:pPr>
      <w:r>
        <w:t xml:space="preserve">I remain indebted to my family. My parents’ sacrifice and my siblings’ encouragement have shaped everything I have been able to do. To those closest to me, thank you for your patience with the long hours of reading and writing, and for your love, prayers and constant support.</w:t>
      </w:r>
    </w:p>
    <w:p>
      <w:pPr>
        <w:pStyle w:val="Body"/>
      </w:pPr>
      <w:r>
        <w:t xml:space="preserve">Finally, I acknowledge the many scholars, historians and pastors, ancient and modern, whose work is cited in the endnotes and bibliography. I have stood on their shoulders throughout. Any errors of fact or judgement that remain are my own.</w:t>
      </w:r>
    </w:p>
    <w:p>
      <w:pPr>
        <w:sectPr>
          <w:headerReference w:type="default" r:id="rId136"/>
          <w:headerReference w:type="first" r:id="rId137"/>
          <w:footerReference w:type="default" r:id="rId138"/>
          <w:footerReference w:type="first" r:id="rId139"/>
          <w:type w:val="nextPage"/>
          <w:pgSz w:w="8640" w:h="12960" w:orient="portrait"/>
          <w:pgMar w:top="1080" w:right="936" w:bottom="1008" w:left="1008" w:header="560" w:footer="520" w:gutter="0"/>
          <w:pgNumType w:fmt="lowerRoman"/>
          <w:titlePg/>
          <w:docGrid w:linePitch="360"/>
        </w:sectPr>
      </w:pPr>
    </w:p>
    <w:p>
      <w:pPr>
        <w:spacing w:after="160" w:before="1300"/>
        <w:jc w:val="center"/>
      </w:pPr>
      <w:r>
        <w:rPr>
          <w:b/>
          <w:bCs/>
          <w:color w:val="A67C1A"/>
          <w:spacing w:val="60"/>
          <w:sz w:val="20"/>
          <w:szCs w:val="20"/>
        </w:rPr>
        <w:t xml:space="preserve">PREFACE</w:t>
      </w:r>
    </w:p>
    <w:p>
      <w:pPr>
        <w:pStyle w:val="Heading1"/>
      </w:pPr>
      <w:bookmarkStart w:id="1098" w:name="toc_preface"/>
      <w:r>
        <w:t xml:space="preserve">Take Heed Lest You Fall</w:t>
      </w:r>
      <w:bookmarkEnd w:id="1098"/>
    </w:p>
    <w:p>
      <w:pPr>
        <w:pBdr>
          <w:bottom w:val="single" w:color="A67C1A" w:sz="8" w:space="1"/>
        </w:pBdr>
        <w:spacing w:after="240" w:before="120"/>
        <w:ind w:left="2448" w:right="2448"/>
        <w:jc w:val="center"/>
      </w:pPr>
    </w:p>
    <w:p>
      <w:pPr>
        <w:pStyle w:val="BodyFirst"/>
      </w:pPr>
      <w:r>
        <w:t xml:space="preserve">Few subjects are as sobering to the servant of God as the fall of a leader. Every generation of the Church has watched men and women of evident gifting, genuine calling and remarkable fruitfulness stumble into snares that, in the cold light of hindsight, appear obvious. The shock is rarely that the pitfall existed; it is that one so seasoned did not see it. This book grows out of that shock, and out of the conviction that the pitfalls of leadership are neither new nor mysterious. They are ancient, they are named in Scripture, they were catalogued by the Fathers of the early Church, they were enacted on the grand stage of imperial Rome, and they are being repeated in our own pulpits, boardrooms and ministries today.</w:t>
      </w:r>
    </w:p>
    <w:p>
      <w:pPr>
        <w:pStyle w:val="Body"/>
      </w:pPr>
      <w:r>
        <w:t xml:space="preserve">My own interest in the subject was not born in the abstract. Years of teaching in theological education, of walking alongside ministers in training and of watching the Nigerian Church grow in size, wealth and public influence have convinced me that the greatest threat to Christian leadership in our generation is not opposition from outside but erosion from within. The same growth that we rightly celebrate has multiplied the temptations that accompany platform, money and power. Our seminaries train leaders to preach, to administer and to build; we must also train them to stand.</w:t>
      </w:r>
    </w:p>
    <w:p>
      <w:pPr>
        <w:pStyle w:val="Body"/>
      </w:pPr>
      <w:r>
        <w:t xml:space="preserve">The aim of the pages that follow is therefore practical rather than sensational. Where contemporary failures are discussed, they are drawn from matters already in the public record, examined not to shame the fallen but to warn the standing. “Wherefore let him that thinketh he standeth take heed lest he fall” (1 Cor. 10:12). That verse is the text beneath the whole book. Paul wrote it immediately after recounting the failures of Israel in the wilderness, adding that “all these things happened unto them for ensamples: and they are written for our admonition” (1 Cor. 10:11). The fallen leaders of Scripture are placed in the canon for our instruction; the fallen leaders of history and of our own day serve the same sobering purpose.</w:t>
      </w:r>
    </w:p>
    <w:p>
      <w:pPr>
        <w:pStyle w:val="Body"/>
      </w:pPr>
      <w:r>
        <w:t xml:space="preserve">I have written as a biblical scholar, but also as a fellow traveller. I do not stand above the snares described here. Every chapter has been, first of all, a mirror held up to my own heart, and I invite the reader to read in the same spirit: not asking first, “Who else does this describe?” but “Lord, is it I?” (Matt. 26:22).</w:t>
      </w:r>
    </w:p>
    <w:p>
      <w:pPr>
        <w:pStyle w:val="Body"/>
      </w:pPr>
      <w:r>
        <w:t xml:space="preserve">The book is arranged in four parts. Part One lays foundations: it asks why leaders fall and sets the New Testament’s teaching on leadership against the backdrop of Roman power, which shaped the world in which the apostles served. Part Two traces eleven major pitfalls through the Old and New Testaments, from pride and greed to the failure of succession and the tragedy of finishing badly. Part Three calls witnesses from across the centuries: the early Church Fathers, the bishops who faced the new temptations of imperial favour after Constantine, contemporary church leaders whose falls and whose faithfulness instruct us, and the particular pressures facing leaders in Africa and Nigeria. Part Four turns from diagnosis to protection, setting out practical safeguards and gathering the lessons of the whole study into a chapter of short maxims, sayings to be memorised, repeated and lived.</w:t>
      </w:r>
    </w:p>
    <w:p>
      <w:pPr>
        <w:pStyle w:val="Body"/>
      </w:pPr>
      <w:r>
        <w:t xml:space="preserve">Scripture quotations are from the King James Version unless otherwise stated. Patristic and classical sources are cited from standard editions. Full references are given in the endnotes, which are numbered afresh in each chapter and gathered at the back of the book, and in the select bibliography. For readers who wish to go further, a list of recommended books, arranged by theme and briefly annotated, follows the bibliography.</w:t>
      </w:r>
    </w:p>
    <w:p>
      <w:pPr>
        <w:pStyle w:val="Body"/>
      </w:pPr>
      <w:r>
        <w:t xml:space="preserve">My prayer is that this book will serve pastors, ministers in training, church workers, lay leaders and all who carry responsibility for others, that each reader may be found, at the end, among those who finished well.</w:t>
      </w:r>
    </w:p>
    <w:p>
      <w:pPr>
        <w:spacing w:before="360" w:after="0"/>
        <w:jc w:val="right"/>
      </w:pPr>
      <w:r>
        <w:rPr>
          <w:b/>
          <w:bCs/>
          <w:color w:val="1F3864"/>
          <w:sz w:val="21"/>
          <w:szCs w:val="21"/>
        </w:rPr>
        <w:t xml:space="preserve">Ebimobo-Owei Donatus Tambou, Ph.D.</w:t>
      </w:r>
    </w:p>
    <w:p>
      <w:pPr>
        <w:spacing w:before="0" w:after="0"/>
        <w:jc w:val="right"/>
      </w:pPr>
      <w:r>
        <w:rPr>
          <w:i/>
          <w:iCs/>
          <w:color w:val="1F3864"/>
          <w:sz w:val="21"/>
          <w:szCs w:val="21"/>
        </w:rPr>
        <w:t xml:space="preserve">Redeemed Christian Theological College</w:t>
      </w:r>
    </w:p>
    <w:p>
      <w:pPr>
        <w:spacing w:before="0" w:after="0"/>
        <w:jc w:val="right"/>
      </w:pPr>
      <w:r>
        <w:rPr>
          <w:i/>
          <w:iCs/>
          <w:color w:val="1F3864"/>
          <w:sz w:val="21"/>
          <w:szCs w:val="21"/>
        </w:rPr>
        <w:t xml:space="preserve">2026</w:t>
      </w:r>
    </w:p>
    <w:p>
      <w:pPr>
        <w:sectPr>
          <w:headerReference w:type="default" r:id="rId19"/>
          <w:headerReference w:type="first" r:id="rId20"/>
          <w:footerReference w:type="default" r:id="rId21"/>
          <w:footerReference w:type="first" r:id="rId22"/>
          <w:type w:val="nextPage"/>
          <w:pgSz w:w="8640" w:h="12960" w:orient="portrait"/>
          <w:pgMar w:top="1080" w:right="936" w:bottom="1008" w:left="1008" w:header="560" w:footer="520" w:gutter="0"/>
          <w:pgNumType w:fmt="lowerRoman"/>
          <w:titlePg/>
          <w:docGrid w:linePitch="360"/>
        </w:sectPr>
      </w:pPr>
    </w:p>
    <w:p>
      <w:pPr>
        <w:spacing w:after="160" w:before="1300"/>
        <w:jc w:val="center"/>
      </w:pPr>
      <w:r>
        <w:rPr>
          <w:b/>
          <w:bCs/>
          <w:color w:val="A67C1A"/>
          <w:spacing w:val="60"/>
          <w:sz w:val="20"/>
          <w:szCs w:val="20"/>
        </w:rPr>
        <w:t xml:space="preserve">ABOUT THIS BOOK</w:t>
      </w:r>
    </w:p>
    <w:p>
      <w:pPr>
        <w:pStyle w:val="Heading1"/>
      </w:pPr>
      <w:bookmarkStart w:id="1099" w:name="toc_aboutbook"/>
      <w:r>
        <w:t xml:space="preserve">A Map of the Snares</w:t>
      </w:r>
      <w:bookmarkEnd w:id="1099"/>
    </w:p>
    <w:p>
      <w:pPr>
        <w:pBdr>
          <w:bottom w:val="single" w:color="A67C1A" w:sz="8" w:space="1"/>
        </w:pBdr>
        <w:spacing w:after="240" w:before="120"/>
        <w:ind w:left="2448" w:right="2448"/>
        <w:jc w:val="center"/>
      </w:pPr>
    </w:p>
    <w:p>
      <w:pPr>
        <w:pStyle w:val="BodyFirst"/>
      </w:pPr>
      <w:r>
        <w:rPr>
          <w:i/>
          <w:iCs/>
        </w:rPr>
        <w:t xml:space="preserve">Leaders’ Pitfalls</w:t>
      </w:r>
      <w:r>
        <w:t xml:space="preserve"> is a biblical, historical and practical study of why Christian leaders fall and how they may, by the grace of God, stand firm to the end. It begins from a simple observation: the snares that bring leaders down are not new. Pride, greed, sexual immorality, the abuse of power, jealousy, the fear of people, an unguarded tongue, presumption, isolation, the neglect of family and the slow drift of compromise are as old as Saul and Solomon, and as current as the morning’s headlines.</w:t>
      </w:r>
    </w:p>
    <w:p>
      <w:pPr>
        <w:pStyle w:val="Body"/>
      </w:pPr>
      <w:r>
        <w:t xml:space="preserve">What sets this book apart is the range of witnesses it brings together. Each pitfall is traced first through Scripture, the primary and authoritative witness, with close attention to the lives of leaders such as Moses, Saul, David, Uzziah, Gehazi, Judas, Diotrephes and Demas. These biblical portraits are then set alongside the world of imperial Rome, whose obsession with honour, patronage and the cult of the ruler formed the backdrop to the New Testament, and alongside the early Church Fathers, from Clement of Rome and Chrysostom to Augustine and Gregory the Great, who wrote with remarkable insight about the perils of office. Finally, the study turns to the contemporary Church, including the particular pressures facing leaders in Africa and Nigeria, where rapid church growth, the prestige of the platform and weak structures of accountability have made the lessons of this book especially urgent.</w:t>
      </w:r>
    </w:p>
    <w:p>
      <w:pPr>
        <w:pStyle w:val="Body"/>
      </w:pPr>
      <w:r>
        <w:t xml:space="preserve">The book is diagnostic, but it is not merely a catalogue of failures. Part Four offers practical safeguards for building a life that does not fall, and a chapter of memorable maxims gathers the wisdom of the whole study into short sayings that can be learned, taught and lived. Throughout, the tone is pastoral rather than sensational: the fallen are examined not to be condemned but so that the standing may take heed.</w:t>
      </w:r>
    </w:p>
    <w:p>
      <w:pPr>
        <w:pStyle w:val="Heading2"/>
      </w:pPr>
      <w:r>
        <w:t xml:space="preserve">Who This Book Is For</w:t>
      </w:r>
    </w:p>
    <w:p>
      <w:pPr>
        <w:pStyle w:val="BodyFirst"/>
      </w:pPr>
      <w:r>
        <w:t xml:space="preserve">The book is written for pastors and ministers, for students in theological colleges and seminaries, for church workers and departmental heads, for leaders of Christian organisations and for believers who carry responsibility in public life, business and the home. It will serve equally well as a textbook for courses in pastoral theology and Christian leadership and as a companion for personal reflection.</w:t>
      </w:r>
    </w:p>
    <w:p>
      <w:pPr>
        <w:pStyle w:val="Heading2"/>
      </w:pPr>
      <w:r>
        <w:t xml:space="preserve">How to Use This Book</w:t>
      </w:r>
    </w:p>
    <w:p>
      <w:pPr>
        <w:pStyle w:val="BodyFirst"/>
        <w:spacing w:after="120"/>
      </w:pPr>
      <w:r>
        <w:rPr>
          <w:b/>
          <w:bCs/>
        </w:rPr>
        <w:t xml:space="preserve">For personal reading.</w:t>
      </w:r>
      <w:r>
        <w:t xml:space="preserve"> Read one chapter at a sitting, slowly and prayerfully. At the end of each chapter, pause over the “Contemporary Implications” and ask honestly where the pitfall described is already at work in your own life and ministry.</w:t>
      </w:r>
    </w:p>
    <w:p>
      <w:pPr>
        <w:pStyle w:val="BodyFirst"/>
        <w:spacing w:after="120"/>
      </w:pPr>
      <w:r>
        <w:rPr>
          <w:b/>
          <w:bCs/>
        </w:rPr>
        <w:t xml:space="preserve">For leadership teams and study groups.</w:t>
      </w:r>
      <w:r>
        <w:t xml:space="preserve"> A chapter a week makes a natural rhythm for a ministers’ fellowship, a church council or a leadership retreat. The biblical case studies lend themselves to discussion, and the maxims in Chapter 19 can be used to open or close each session.</w:t>
      </w:r>
    </w:p>
    <w:p>
      <w:pPr>
        <w:pStyle w:val="BodyFirst"/>
        <w:spacing w:after="120"/>
      </w:pPr>
      <w:r>
        <w:rPr>
          <w:b/>
          <w:bCs/>
        </w:rPr>
        <w:t xml:space="preserve">For the classroom.</w:t>
      </w:r>
      <w:r>
        <w:t xml:space="preserve"> Lecturers will find that the four parts correspond readily to the units of a course: foundations, biblical case studies, historical witnesses and practical safeguards. The endnotes, select bibliography and annotated list of recommended books provide ready material for further study and assignments.</w:t>
      </w:r>
    </w:p>
    <w:p>
      <w:pPr>
        <w:sectPr>
          <w:headerReference w:type="default" r:id="rId140"/>
          <w:headerReference w:type="first" r:id="rId141"/>
          <w:footerReference w:type="default" r:id="rId142"/>
          <w:footerReference w:type="first" r:id="rId143"/>
          <w:type w:val="nextPage"/>
          <w:pgSz w:w="8640" w:h="12960" w:orient="portrait"/>
          <w:pgMar w:top="1080" w:right="936" w:bottom="1008" w:left="1008" w:header="560" w:footer="520" w:gutter="0"/>
          <w:pgNumType w:fmt="lowerRoman"/>
          <w:titlePg/>
          <w:docGrid w:linePitch="360"/>
        </w:sectPr>
      </w:pPr>
    </w:p>
    <w:p>
      <w:pPr>
        <w:spacing w:after="160" w:before="1300"/>
        <w:jc w:val="center"/>
      </w:pPr>
      <w:r>
        <w:rPr>
          <w:b/>
          <w:bCs/>
          <w:color w:val="A67C1A"/>
          <w:spacing w:val="60"/>
          <w:sz w:val="20"/>
          <w:szCs w:val="20"/>
        </w:rPr>
        <w:t xml:space="preserve">INTRODUCTION</w:t>
      </w:r>
    </w:p>
    <w:p>
      <w:pPr>
        <w:pStyle w:val="Heading1"/>
      </w:pPr>
      <w:bookmarkStart w:id="1074" w:name="toc_54"/>
      <w:r>
        <w:t xml:space="preserve">The Snare Beside the Path</w:t>
      </w:r>
      <w:bookmarkEnd w:id="1074"/>
    </w:p>
    <w:p>
      <w:pPr>
        <w:pBdr>
          <w:bottom w:val="single" w:color="A67C1A" w:sz="8" w:space="1"/>
        </w:pBdr>
        <w:spacing w:after="240" w:before="120"/>
        <w:ind w:left="2448" w:right="2448"/>
        <w:jc w:val="center"/>
      </w:pPr>
    </w:p>
    <w:p>
      <w:pPr>
        <w:pStyle w:val="BodyFirst"/>
      </w:pPr>
      <w:r>
        <w:t xml:space="preserve">The Hebrew Scriptures are full of hunting imagery. The psalmist speaks of the “snare of the fowler” (Ps. 91:3), of nets spread by the wicked, and of pits dug in the path of the unwary. Most striking of all is the Bible’s repeated warning that the one who digs a pit often falls into it himself: “Whoso diggeth a pit shall fall therein” (Prov. 26:27; compare Ps. 7:15; Eccl. 10:8). A pitfall, in the original sense of the word, is a concealed hole in the ground, covered over with branches and leaves so that the victim walks confidently forward until the moment the ground gives way. The image is precise. Leaders rarely fall because they walk knowingly towards a cliff. They fall because the ground that looked solid was not.</w:t>
      </w:r>
    </w:p>
    <w:p>
      <w:pPr>
        <w:pStyle w:val="Body"/>
      </w:pPr>
      <w:r>
        <w:t xml:space="preserve">This introduction sets out three convictions that govern the book.</w:t>
      </w:r>
    </w:p>
    <w:p>
      <w:pPr>
        <w:pStyle w:val="Body"/>
      </w:pPr>
      <w:r>
        <w:t xml:space="preserve">The first is that leadership magnifies both virtue and vice. The sins of a private believer are no less sinful than those of a bishop, but their reach is different. When a leader falls, the damage spreads outward to families, congregations, institutions and the witness of the gospel in society. James warns, “My brethren, be not many masters, knowing that we shall receive the greater condemnation” (Jas. 3:1). The word translated “masters” means teachers; the higher the platform, the greater the accountability. Jesus himself taught that “unto whomsoever much is given, of him shall be much required” (Luke 12:48).</w:t>
      </w:r>
    </w:p>
    <w:p>
      <w:pPr>
        <w:pStyle w:val="Body"/>
      </w:pPr>
      <w:r>
        <w:t xml:space="preserve">The second conviction is that falls are usually processes rather than events. The public collapse of a leader is typically the final moment in a long drift. Saul’s rejection at Gilgal did not come out of nowhere; it was the fruit of small impatiences, a pattern of partial obedience and a growing preoccupation with his standing before the people. David’s sin with Bathsheba began, as the text quietly notes, “at the time when kings go forth to battle” when “David tarried still at Jerusalem” (2 Sam. 11:1). The pitfall was dug long before the leader stepped into it.</w:t>
      </w:r>
    </w:p>
    <w:p>
      <w:pPr>
        <w:pStyle w:val="Body"/>
      </w:pPr>
      <w:r>
        <w:t xml:space="preserve">The third conviction is that God’s grace remains available even to the fallen. The same Scriptures that record the failures of Moses, David and Peter also record their restoration. The purpose of studying pitfalls is not to produce fear or cynicism but wisdom, humility and vigilance. The goal is not merely to avoid disaster but to finish well, to be able to say with Paul at the end, “I have fought a good fight, I have finished my course, I have kept the faith” (2 Tim. 4:7).</w:t>
      </w:r>
    </w:p>
    <w:p>
      <w:pPr>
        <w:pStyle w:val="Body"/>
      </w:pPr>
      <w:r>
        <w:t xml:space="preserve">Throughout the book the reader will meet four kinds of witness. Scripture is the primary and authoritative witness. The early Church Fathers provide the reflections of pastors who led the Church through persecution and prosperity alike. Roman history supplies the world into which the gospel came, a world obsessed with honour, power and the cult of the ruler, whose temptations are strikingly modern. Contemporary church leaders, both those who fell and those who stood, bring the lessons home to our own generation. Together they speak with one voice: the pitfalls are real, they are predictable, and by the grace of God they can be avoided.</w:t>
      </w:r>
    </w:p>
    <w:p>
      <w:pPr>
        <w:sectPr>
          <w:headerReference w:type="default" r:id="rId23"/>
          <w:headerReference w:type="first" r:id="rId24"/>
          <w:footerReference w:type="default" r:id="rId25"/>
          <w:footerReference w:type="first" r:id="rId26"/>
          <w:type w:val="nextPage"/>
          <w:pgSz w:w="8640" w:h="12960" w:orient="portrait"/>
          <w:pgMar w:top="1080" w:right="936" w:bottom="1008" w:left="1008" w:header="560" w:footer="520" w:gutter="0"/>
          <w:pgNumType w:start="1" w:fmt="decimal"/>
          <w:titlePg/>
          <w:docGrid w:linePitch="360"/>
        </w:sectPr>
      </w:pPr>
    </w:p>
    <w:p>
      <w:pPr>
        <w:spacing w:after="240"/>
        <w:jc w:val="center"/>
      </w:pPr>
      <w:r>
        <w:rPr>
          <w:b/>
          <w:bCs/>
          <w:color w:val="A67C1A"/>
          <w:spacing w:val="120"/>
          <w:sz w:val="24"/>
          <w:szCs w:val="24"/>
        </w:rPr>
        <w:t xml:space="preserve">PART ONE</w:t>
      </w:r>
    </w:p>
    <w:p>
      <w:pPr>
        <w:spacing w:after="120"/>
        <w:jc w:val="center"/>
      </w:pPr>
      <w:r>
        <w:rPr>
          <w:color w:val="1F3864"/>
          <w:sz w:val="52"/>
          <w:szCs w:val="52"/>
        </w:rPr>
        <w:t xml:space="preserve">Foundations</w:t>
      </w:r>
    </w:p>
    <w:p>
      <w:pPr>
        <w:pBdr>
          <w:bottom w:val="single" w:color="A67C1A" w:sz="8" w:space="1"/>
        </w:pBdr>
        <w:spacing w:after="240" w:before="120"/>
        <w:ind w:left="2648" w:right="2648"/>
        <w:jc w:val="center"/>
      </w:pPr>
    </w:p>
    <w:p>
      <w:pPr>
        <w:ind w:left="720" w:right="720"/>
        <w:jc w:val="center"/>
      </w:pPr>
      <w:r>
        <w:rPr>
          <w:i/>
          <w:iCs/>
          <w:color w:val="555555"/>
          <w:sz w:val="23"/>
          <w:szCs w:val="23"/>
        </w:rPr>
        <w:t xml:space="preserve">Why leaders fall, and the world of power into which the gospel came</w:t>
      </w:r>
    </w:p>
    <w:p>
      <w:pPr>
        <w:sectPr>
          <w:headerReference w:type="default" r:id="rId27"/>
          <w:headerReference w:type="first" r:id="rId28"/>
          <w:footerReference w:type="default" r:id="rId29"/>
          <w:footerReference w:type="first" r:id="rId30"/>
          <w:type w:val="nextPage"/>
          <w:pgSz w:w="8640" w:h="12960" w:orient="portrait"/>
          <w:pgMar w:top="1080" w:right="936" w:bottom="1008" w:left="1008" w:header="560" w:footer="520" w:gutter="0"/>
          <w:pgNumType w:fmt="decimal"/>
          <w:vAlign w:val="center"/>
          <w:titlePg/>
          <w:docGrid w:linePitch="360"/>
        </w:sectPr>
      </w:pPr>
    </w:p>
    <w:p>
      <w:pPr>
        <w:spacing w:after="160" w:before="1300"/>
        <w:jc w:val="center"/>
      </w:pPr>
      <w:r>
        <w:rPr>
          <w:b/>
          <w:bCs/>
          <w:color w:val="A67C1A"/>
          <w:spacing w:val="60"/>
          <w:sz w:val="20"/>
          <w:szCs w:val="20"/>
        </w:rPr>
        <w:t xml:space="preserve">CHAPTER 1</w:t>
      </w:r>
    </w:p>
    <w:p>
      <w:pPr>
        <w:pStyle w:val="Heading1"/>
      </w:pPr>
      <w:bookmarkStart w:id="1075" w:name="toc_69"/>
      <w:r>
        <w:t xml:space="preserve">Why Leaders Fall: The Anatomy of a Pitfall</w:t>
      </w:r>
      <w:bookmarkEnd w:id="1075"/>
    </w:p>
    <w:p>
      <w:pPr>
        <w:spacing w:after="60" w:before="60" w:line="276"/>
        <w:ind w:left="720" w:right="720"/>
        <w:jc w:val="center"/>
      </w:pPr>
      <w:r>
        <w:rPr>
          <w:i/>
          <w:iCs/>
          <w:color w:val="555555"/>
          <w:sz w:val="21"/>
          <w:szCs w:val="21"/>
        </w:rPr>
        <w:t xml:space="preserve">Wherefore let him that thinketh he standeth take heed lest he fall.</w:t>
      </w:r>
    </w:p>
    <w:p>
      <w:pPr>
        <w:spacing w:after="480"/>
        <w:jc w:val="center"/>
      </w:pPr>
      <w:r>
        <w:rPr>
          <w:color w:val="A67C1A"/>
          <w:sz w:val="19"/>
          <w:szCs w:val="19"/>
        </w:rPr>
        <w:t xml:space="preserve">— </w:t>
      </w:r>
      <w:r>
        <w:rPr>
          <w:smallCaps/>
          <w:color w:val="A67C1A"/>
          <w:sz w:val="19"/>
          <w:szCs w:val="19"/>
        </w:rPr>
        <w:t xml:space="preserve">1 Corinthians 10:12</w:t>
      </w:r>
    </w:p>
    <w:p>
      <w:pPr>
        <w:pStyle w:val="BodyFirst"/>
      </w:pPr>
      <w:r>
        <w:t xml:space="preserve">Every leader who has fallen once believed that he or she would not. That observation, simple as it is, lies at the root of every serious study of leadership failure. Nobody enters ministry intending to disgrace the name of Christ. The young pastor ordained with tears, the evangelist who first preached in a village market, the founder who began a ministry in a rented classroom: all began with sincerity. The question this chapter addresses is how sincere beginnings end in tragic collapse, and what Scripture reveals about the anatomy of a fall.</w:t>
      </w:r>
    </w:p>
    <w:p>
      <w:pPr>
        <w:pStyle w:val="Heading2"/>
      </w:pPr>
      <w:r>
        <w:t xml:space="preserve">The Biblical Vocabulary of Falling</w:t>
      </w:r>
    </w:p>
    <w:p>
      <w:pPr>
        <w:pStyle w:val="BodyFirst"/>
      </w:pPr>
      <w:r>
        <w:t xml:space="preserve">The Bible uses several images for moral and spiritual failure. The Hebrew verb </w:t>
      </w:r>
      <w:r>
        <w:rPr>
          <w:i/>
          <w:iCs/>
        </w:rPr>
        <w:t xml:space="preserve">kashal</w:t>
      </w:r>
      <w:r>
        <w:t xml:space="preserve"> means to stumble or totter, as a traveller trips over an obstacle in the dark. The noun </w:t>
      </w:r>
      <w:r>
        <w:rPr>
          <w:i/>
          <w:iCs/>
        </w:rPr>
        <w:t xml:space="preserve">mokesh</w:t>
      </w:r>
      <w:r>
        <w:t xml:space="preserve"> denotes a snare or lure, the bait-trigger of a trap. The New Testament uses </w:t>
      </w:r>
      <w:r>
        <w:rPr>
          <w:i/>
          <w:iCs/>
        </w:rPr>
        <w:t xml:space="preserve">skandalon</w:t>
      </w:r>
      <w:r>
        <w:t xml:space="preserve">, originally the stick in a trap that springs it when touched, from which we derive our word “scandal.”</w:t>
      </w:r>
      <w:hyperlink w:anchor="note_1_1">
        <w:r>
          <w:rPr>
            <w:rFonts w:ascii="Times New Roman" w:cs="Times New Roman" w:eastAsia="Times New Roman" w:hAnsi="Times New Roman"/>
            <w:vertAlign w:val="superscript"/>
          </w:rPr>
          <w:t xml:space="preserve">1</w:t>
        </w:r>
      </w:hyperlink>
      <w:r>
        <w:t xml:space="preserve"> Each of these words suggests that a fall is not merely an accident. Something is set in the path. There is a bait, a trigger, and a hidden mechanism.</w:t>
      </w:r>
    </w:p>
    <w:p>
      <w:pPr>
        <w:pStyle w:val="Body"/>
      </w:pPr>
      <w:r>
        <w:t xml:space="preserve">The Scriptures identify three sources of such snares. There is the world, with its systems of reward and honour; the flesh, with its appetites and insecurities; and the devil, who is described as prowling “as a roaring lion” (1 Pet. 5:8) and who sets “the snare of the devil” (1 Tim. 3:7; 2 Tim. 2:26). Paul’s qualifications for overseers conclude with the warning that a leader must have a good report among outsiders “lest he fall into reproach and the snare of the devil” (1 Tim. 3:7). Notice the connection: reputation and snare stand side by side. The leader is watched both by a watching world and by an adversary looking for an opening.</w:t>
      </w:r>
    </w:p>
    <w:p>
      <w:pPr>
        <w:pStyle w:val="Heading2"/>
      </w:pPr>
      <w:r>
        <w:t xml:space="preserve">Why the Leader Is Especially Vulnerable</w:t>
      </w:r>
    </w:p>
    <w:p>
      <w:pPr>
        <w:pStyle w:val="BodyFirst"/>
      </w:pPr>
      <w:r>
        <w:t xml:space="preserve">If all believers face temptation, why devote a book to the pitfalls of leaders? Because leadership adds four particular pressures.</w:t>
      </w:r>
    </w:p>
    <w:p>
      <w:pPr>
        <w:pStyle w:val="Body"/>
      </w:pPr>
      <w:r>
        <w:t xml:space="preserve">The first is </w:t>
      </w:r>
      <w:r>
        <w:rPr>
          <w:b/>
          <w:bCs/>
        </w:rPr>
        <w:t xml:space="preserve">visibility</w:t>
      </w:r>
      <w:r>
        <w:t xml:space="preserve">. A leader stands in front of others, and the constant gaze of a congregation creates a temptation to manage appearances rather than cultivate reality. Jesus warned against doing righteousness “to be seen of men” (Matt. 6:1). The more a leader is seen, the stronger that temptation becomes.</w:t>
      </w:r>
    </w:p>
    <w:p>
      <w:pPr>
        <w:pStyle w:val="Body"/>
      </w:pPr>
      <w:r>
        <w:t xml:space="preserve">The second is </w:t>
      </w:r>
      <w:r>
        <w:rPr>
          <w:b/>
          <w:bCs/>
        </w:rPr>
        <w:t xml:space="preserve">power</w:t>
      </w:r>
      <w:r>
        <w:t xml:space="preserve">. Leaders make decisions that affect other people’s lives, money and futures. Power is not evil in itself; God entrusts authority for the good of those who are led (Rom. 13:4). But power creates distance between the leader and the consequences of his actions, and it tends to silence those who might otherwise correct him. Lord Acton’s famous warning, written to Bishop Mandell Creighton in 1887, that “power tends to corrupt, and absolute power corrupts absolutely,” was offered in the context of church history, not merely politics.</w:t>
      </w:r>
      <w:hyperlink w:anchor="note_1_2">
        <w:r>
          <w:rPr>
            <w:rFonts w:ascii="Times New Roman" w:cs="Times New Roman" w:eastAsia="Times New Roman" w:hAnsi="Times New Roman"/>
            <w:vertAlign w:val="superscript"/>
          </w:rPr>
          <w:t xml:space="preserve">2</w:t>
        </w:r>
      </w:hyperlink>
    </w:p>
    <w:p>
      <w:pPr>
        <w:pStyle w:val="Body"/>
      </w:pPr>
      <w:r>
        <w:t xml:space="preserve">The third is </w:t>
      </w:r>
      <w:r>
        <w:rPr>
          <w:b/>
          <w:bCs/>
        </w:rPr>
        <w:t xml:space="preserve">success</w:t>
      </w:r>
      <w:r>
        <w:t xml:space="preserve">. Paradoxically, leaders are often most vulnerable after victory rather than after defeat. Uzziah “was marvellously helped, till he was strong. But when he was strong, his heart was lifted up to his destruction” (2 Chr. 26:15–16). Elijah’s collapse under the juniper tree followed immediately on his triumph at Carmel (1 Kgs. 19:4). The business writer Jim Collins, studying the decline of once-great companies, identified the first stage of decline as “hubris born of success.”</w:t>
      </w:r>
      <w:hyperlink w:anchor="note_1_3">
        <w:r>
          <w:rPr>
            <w:rFonts w:ascii="Times New Roman" w:cs="Times New Roman" w:eastAsia="Times New Roman" w:hAnsi="Times New Roman"/>
            <w:vertAlign w:val="superscript"/>
          </w:rPr>
          <w:t xml:space="preserve">3</w:t>
        </w:r>
      </w:hyperlink>
      <w:r>
        <w:t xml:space="preserve"> What is true of corporations is true of ministries.</w:t>
      </w:r>
    </w:p>
    <w:p>
      <w:pPr>
        <w:pStyle w:val="Body"/>
      </w:pPr>
      <w:r>
        <w:t xml:space="preserve">The fourth is </w:t>
      </w:r>
      <w:r>
        <w:rPr>
          <w:b/>
          <w:bCs/>
        </w:rPr>
        <w:t xml:space="preserve">isolation</w:t>
      </w:r>
      <w:r>
        <w:t xml:space="preserve">. The higher a leader rises, the fewer peers he has and the fewer people will speak honestly to him. The leader may be surrounded by people and yet profoundly alone, with no one who knows the true state of his soul. Isolation removes the ordinary protections that friendship, correction and confession provide.</w:t>
      </w:r>
    </w:p>
    <w:p>
      <w:pPr>
        <w:pStyle w:val="Heading2"/>
      </w:pPr>
      <w:r>
        <w:t xml:space="preserve">The Five Stages of a Fall</w:t>
      </w:r>
    </w:p>
    <w:p>
      <w:pPr>
        <w:pStyle w:val="BodyFirst"/>
      </w:pPr>
      <w:r>
        <w:t xml:space="preserve">Studying the biblical narratives, a recurring pattern emerges. It is not a rigid formula, but it appears often enough to serve as a warning.</w:t>
      </w:r>
    </w:p>
    <w:p>
      <w:pPr>
        <w:pStyle w:val="Body"/>
      </w:pPr>
      <w:r>
        <w:rPr>
          <w:b/>
          <w:bCs/>
        </w:rPr>
        <w:t xml:space="preserve">Stage one: neglect of the private life.</w:t>
      </w:r>
      <w:r>
        <w:t xml:space="preserve"> Before any public failure there is usually a private drift. Prayer becomes perfunctory, the Scriptures are read for sermons rather than for the soul, and the leader’s inner life shrinks while his outer life expands. Samson’s great strength coexisted with an undisciplined heart for years before Delilah.</w:t>
      </w:r>
    </w:p>
    <w:p>
      <w:pPr>
        <w:pStyle w:val="Body"/>
      </w:pPr>
      <w:r>
        <w:rPr>
          <w:b/>
          <w:bCs/>
        </w:rPr>
        <w:t xml:space="preserve">Stage two: the entrance of entitlement.</w:t>
      </w:r>
      <w:r>
        <w:t xml:space="preserve"> The leader begins to feel that the rules which bind others do not quite apply to him. He has worked harder, sacrificed more, and achieved more. Surely he deserves some compensation. David’s sense of royal entitlement is visible in the casual phrase, “David sent and enquired after the woman” (2 Sam. 11:3). He did not ask whether he should; he simply sent.</w:t>
      </w:r>
    </w:p>
    <w:p>
      <w:pPr>
        <w:pStyle w:val="Body"/>
      </w:pPr>
      <w:r>
        <w:rPr>
          <w:b/>
          <w:bCs/>
        </w:rPr>
        <w:t xml:space="preserve">Stage three: secrecy and rationalisation.</w:t>
      </w:r>
      <w:r>
        <w:t xml:space="preserve"> The first compromise is hidden and justified. Achan “coveted” and “took” and “hid” (Josh. 7:21). The progression is instructive: desire, action, concealment. Once something is hidden, the leader must begin to manage two lives.</w:t>
      </w:r>
    </w:p>
    <w:p>
      <w:pPr>
        <w:pStyle w:val="Body"/>
      </w:pPr>
      <w:r>
        <w:rPr>
          <w:b/>
          <w:bCs/>
        </w:rPr>
        <w:t xml:space="preserve">Stage four: resistance to correction.</w:t>
      </w:r>
      <w:r>
        <w:t xml:space="preserve"> When confronted, the fallen leader typically deflects, minimises or attacks the messenger. Saul, confronted by Samuel, protested, “Yea, I have obeyed the voice of the LORD” (1 Sam. 15:20), and then blamed the people. The inability to receive correction is one of the most reliable indicators that a leader is in serious danger.</w:t>
      </w:r>
    </w:p>
    <w:p>
      <w:pPr>
        <w:pStyle w:val="Body"/>
      </w:pPr>
      <w:r>
        <w:rPr>
          <w:b/>
          <w:bCs/>
        </w:rPr>
        <w:t xml:space="preserve">Stage five: exposure and consequence.</w:t>
      </w:r>
      <w:r>
        <w:t xml:space="preserve"> “Be sure your sin will find you out” (Num. 32:23). What was hidden is revealed, often publicly and painfully. Even here, however, grace is available. David’s response to Nathan, “I have sinned against the LORD” (2 Sam. 12:13), opened the way to forgiveness, though not to the removal of every consequence.</w:t>
      </w:r>
    </w:p>
    <w:p>
      <w:pPr>
        <w:pStyle w:val="Heading2"/>
      </w:pPr>
      <w:r>
        <w:t xml:space="preserve">Character and Gifting</w:t>
      </w:r>
    </w:p>
    <w:p>
      <w:pPr>
        <w:pStyle w:val="BodyFirst"/>
      </w:pPr>
      <w:r>
        <w:t xml:space="preserve">One of the great lessons of Scripture is that gifting is no proof of godliness. Balaam was a genuine prophet whose oracles are preserved in the canon, yet he “loved the wages of unrighteousness” (2 Pet. 2:15). Samson moved in the power of the Spirit while living in moral chaos. Jesus warned that on the last day many would say, “Lord, Lord, have we not prophesied in thy name? and in thy name have cast out devils?” only to hear, “I never knew you” (Matt. 7:22–23). Gifts are given; character is formed. The Church in every age has been tempted to promote the gifted over the godly, and has reaped the consequences.</w:t>
      </w:r>
    </w:p>
    <w:p>
      <w:pPr>
        <w:pStyle w:val="Body"/>
      </w:pPr>
      <w:r>
        <w:t xml:space="preserve">J. Oswald Sanders, whose </w:t>
      </w:r>
      <w:r>
        <w:rPr>
          <w:i/>
          <w:iCs/>
        </w:rPr>
        <w:t xml:space="preserve">Spiritual Leadership</w:t>
      </w:r>
      <w:r>
        <w:t xml:space="preserve"> has shaped generations of Christian workers, devoted an entire chapter to “The Perils of Leadership,” listing pride, egotism, jealousy, popularity, a sense of infallibility and a sense of indispensability among the dangers that attend spiritual office.</w:t>
      </w:r>
      <w:hyperlink w:anchor="note_1_4">
        <w:r>
          <w:rPr>
            <w:rFonts w:ascii="Times New Roman" w:cs="Times New Roman" w:eastAsia="Times New Roman" w:hAnsi="Times New Roman"/>
            <w:vertAlign w:val="superscript"/>
          </w:rPr>
          <w:t xml:space="preserve">4</w:t>
        </w:r>
      </w:hyperlink>
      <w:r>
        <w:t xml:space="preserve"> The list is sobering because every item on it is a temptation that success makes stronger rather than weaker.</w:t>
      </w:r>
    </w:p>
    <w:p>
      <w:pPr>
        <w:pStyle w:val="Heading2"/>
      </w:pPr>
      <w:r>
        <w:t xml:space="preserve">Finishing Well</w:t>
      </w:r>
    </w:p>
    <w:p>
      <w:pPr>
        <w:pStyle w:val="BodyFirst"/>
      </w:pPr>
      <w:r>
        <w:t xml:space="preserve">The goal of this study is not merely to avoid falling but to finish well. The leadership scholar J. Robert Clinton, having examined the lives of the biblical leaders about whom Scripture gives enough information, concluded that only around one in three finished well.</w:t>
      </w:r>
      <w:hyperlink w:anchor="note_1_5">
        <w:r>
          <w:rPr>
            <w:rFonts w:ascii="Times New Roman" w:cs="Times New Roman" w:eastAsia="Times New Roman" w:hAnsi="Times New Roman"/>
            <w:vertAlign w:val="superscript"/>
          </w:rPr>
          <w:t xml:space="preserve">5</w:t>
        </w:r>
      </w:hyperlink>
      <w:r>
        <w:t xml:space="preserve"> Whatever the precise figure, the observation is confirmed by any careful reader of the historical books. Saul, Solomon, Asa, Joash, Uzziah and Hezekiah all began better than they ended. By contrast, Joshua, Samuel, Daniel and Paul are among those whose final chapters are as faithful as their first.</w:t>
      </w:r>
    </w:p>
    <w:p>
      <w:pPr>
        <w:pStyle w:val="Body"/>
      </w:pPr>
      <w:r>
        <w:t xml:space="preserve">The chapters that follow examine the pitfalls that turned promising beginnings into sad endings, and the safeguards that allowed others to run their race to the end.</w:t>
      </w:r>
    </w:p>
    <w:p>
      <w:pPr>
        <w:keepNext/>
        <w:pBdr>
          <w:top w:val="single" w:color="A67C1A" w:sz="6" w:space="8"/>
        </w:pBdr>
        <w:spacing w:after="120" w:before="360"/>
      </w:pPr>
      <w:r>
        <w:rPr>
          <w:b/>
          <w:bCs/>
          <w:smallCaps/>
          <w:color w:val="1F3864"/>
          <w:spacing w:val="20"/>
          <w:sz w:val="22"/>
          <w:szCs w:val="22"/>
        </w:rPr>
        <w:t xml:space="preserve">For Reflection and Discussion</w:t>
      </w:r>
    </w:p>
    <w:p>
      <w:pPr>
        <w:keepNext/>
        <w:keepLines/>
        <w:tabs>
          <w:tab w:val="left" w:pos="360"/>
        </w:tabs>
        <w:spacing w:after="80" w:line="276"/>
        <w:ind w:left="360" w:hanging="360"/>
      </w:pPr>
      <w:r>
        <w:rPr>
          <w:b/>
          <w:bCs/>
          <w:color w:val="A67C1A"/>
          <w:sz w:val="21"/>
          <w:szCs w:val="21"/>
        </w:rPr>
        <w:t xml:space="preserve">1.</w:t>
      </w:r>
      <w:r>
        <w:t xml:space="preserve">	</w:t>
      </w:r>
      <w:r>
        <w:rPr>
          <w:sz w:val="21"/>
          <w:szCs w:val="21"/>
        </w:rPr>
        <w:t xml:space="preserve">Which of the four pressures of leadership (visibility, power, success and isolation) do you feel most strongly in your present role?</w:t>
      </w:r>
    </w:p>
    <w:p>
      <w:pPr>
        <w:keepNext/>
        <w:keepLines/>
        <w:tabs>
          <w:tab w:val="left" w:pos="360"/>
        </w:tabs>
        <w:spacing w:after="80" w:line="276"/>
        <w:ind w:left="360" w:hanging="360"/>
      </w:pPr>
      <w:r>
        <w:rPr>
          <w:b/>
          <w:bCs/>
          <w:color w:val="A67C1A"/>
          <w:sz w:val="21"/>
          <w:szCs w:val="21"/>
        </w:rPr>
        <w:t xml:space="preserve">2.</w:t>
      </w:r>
      <w:r>
        <w:t xml:space="preserve">	</w:t>
      </w:r>
      <w:r>
        <w:rPr>
          <w:sz w:val="21"/>
          <w:szCs w:val="21"/>
        </w:rPr>
        <w:t xml:space="preserve">Looking at the five stages of a fall, where have you seen the early stages in your own life or in leaders you have known?</w:t>
      </w:r>
    </w:p>
    <w:p>
      <w:pPr>
        <w:keepNext/>
        <w:keepLines/>
        <w:tabs>
          <w:tab w:val="left" w:pos="360"/>
        </w:tabs>
        <w:spacing w:after="80" w:line="276"/>
        <w:ind w:left="360" w:hanging="360"/>
      </w:pPr>
      <w:r>
        <w:rPr>
          <w:b/>
          <w:bCs/>
          <w:color w:val="A67C1A"/>
          <w:sz w:val="21"/>
          <w:szCs w:val="21"/>
        </w:rPr>
        <w:t xml:space="preserve">3.</w:t>
      </w:r>
      <w:r>
        <w:t xml:space="preserve">	</w:t>
      </w:r>
      <w:r>
        <w:rPr>
          <w:sz w:val="21"/>
          <w:szCs w:val="21"/>
        </w:rPr>
        <w:t xml:space="preserve">Why do you think churches so often promote gifted people ahead of godly ones? What would it take to change this in your context?</w:t>
      </w:r>
    </w:p>
    <w:p>
      <w:pPr>
        <w:keepNext w:val="false"/>
        <w:keepLines/>
        <w:tabs>
          <w:tab w:val="left" w:pos="360"/>
        </w:tabs>
        <w:spacing w:after="80" w:line="276"/>
        <w:ind w:left="360" w:hanging="360"/>
      </w:pPr>
      <w:r>
        <w:rPr>
          <w:b/>
          <w:bCs/>
          <w:color w:val="A67C1A"/>
          <w:sz w:val="21"/>
          <w:szCs w:val="21"/>
        </w:rPr>
        <w:t xml:space="preserve">4.</w:t>
      </w:r>
      <w:r>
        <w:t xml:space="preserve">	</w:t>
      </w:r>
      <w:r>
        <w:rPr>
          <w:sz w:val="21"/>
          <w:szCs w:val="21"/>
        </w:rPr>
        <w:t xml:space="preserve">Who are the leaders you know personally who have finished well? What marked their lives?</w:t>
      </w:r>
    </w:p>
    <w:p>
      <w:pPr>
        <w:sectPr>
          <w:headerReference w:type="default" r:id="rId31"/>
          <w:headerReference w:type="first" r:id="rId32"/>
          <w:footerReference w:type="default" r:id="rId33"/>
          <w:footerReference w:type="first" r:id="rId34"/>
          <w:type w:val="nextPage"/>
          <w:pgSz w:w="8640" w:h="12960" w:orient="portrait"/>
          <w:pgMar w:top="1080" w:right="936" w:bottom="1008" w:left="1008" w:header="560" w:footer="520" w:gutter="0"/>
          <w:pgNumType w:fmt="decimal"/>
          <w:titlePg/>
          <w:docGrid w:linePitch="360"/>
        </w:sectPr>
      </w:pPr>
    </w:p>
    <w:p>
      <w:pPr>
        <w:spacing w:after="160" w:before="1300"/>
        <w:jc w:val="center"/>
      </w:pPr>
      <w:r>
        <w:rPr>
          <w:b/>
          <w:bCs/>
          <w:color w:val="A67C1A"/>
          <w:spacing w:val="60"/>
          <w:sz w:val="20"/>
          <w:szCs w:val="20"/>
        </w:rPr>
        <w:t xml:space="preserve">CHAPTER 2</w:t>
      </w:r>
    </w:p>
    <w:p>
      <w:pPr>
        <w:pStyle w:val="Heading1"/>
      </w:pPr>
      <w:bookmarkStart w:id="1076" w:name="toc_102"/>
      <w:r>
        <w:t xml:space="preserve">Power in the Shadow of Rome: Leadership in the World of the New Testament</w:t>
      </w:r>
      <w:bookmarkEnd w:id="1076"/>
    </w:p>
    <w:p>
      <w:pPr>
        <w:spacing w:after="60" w:before="60" w:line="276"/>
        <w:ind w:left="720" w:right="720"/>
        <w:jc w:val="center"/>
      </w:pPr>
      <w:r>
        <w:rPr>
          <w:i/>
          <w:iCs/>
          <w:color w:val="555555"/>
          <w:sz w:val="21"/>
          <w:szCs w:val="21"/>
        </w:rPr>
        <w:t xml:space="preserve">Ye know that they which are accounted to rule over the Gentiles exercise lordship over them… But so shall it not be among you.</w:t>
      </w:r>
    </w:p>
    <w:p>
      <w:pPr>
        <w:spacing w:after="480"/>
        <w:jc w:val="center"/>
      </w:pPr>
      <w:r>
        <w:rPr>
          <w:color w:val="A67C1A"/>
          <w:sz w:val="19"/>
          <w:szCs w:val="19"/>
        </w:rPr>
        <w:t xml:space="preserve">— </w:t>
      </w:r>
      <w:r>
        <w:rPr>
          <w:smallCaps/>
          <w:color w:val="A67C1A"/>
          <w:sz w:val="19"/>
          <w:szCs w:val="19"/>
        </w:rPr>
        <w:t xml:space="preserve">Mark 10:42–43</w:t>
      </w:r>
    </w:p>
    <w:p>
      <w:pPr>
        <w:pStyle w:val="BodyFirst"/>
      </w:pPr>
      <w:r>
        <w:t xml:space="preserve">The New Testament was written in a world dominated by Rome. Every apostle ministered under the shadow of imperial power; Jesus himself was crucified by a Roman governor, and Paul was executed, according to strong early tradition, under Nero. To understand the New Testament’s teaching on leadership, and to appreciate how radical it was, we must first understand the Roman model of power it confronted. The temptations of Roman leadership are strikingly modern, and many of them have found their way into the Church.</w:t>
      </w:r>
    </w:p>
    <w:p>
      <w:pPr>
        <w:pStyle w:val="Heading2"/>
      </w:pPr>
      <w:r>
        <w:t xml:space="preserve">Honour, Patronage and the Pursuit of Glory</w:t>
      </w:r>
    </w:p>
    <w:p>
      <w:pPr>
        <w:pStyle w:val="BodyFirst"/>
      </w:pPr>
      <w:r>
        <w:t xml:space="preserve">Roman society ran on honour. Public life was a competition for </w:t>
      </w:r>
      <w:r>
        <w:rPr>
          <w:i/>
          <w:iCs/>
        </w:rPr>
        <w:t xml:space="preserve">dignitas</w:t>
      </w:r>
      <w:r>
        <w:t xml:space="preserve"> (standing) and </w:t>
      </w:r>
      <w:r>
        <w:rPr>
          <w:i/>
          <w:iCs/>
        </w:rPr>
        <w:t xml:space="preserve">gloria</w:t>
      </w:r>
      <w:r>
        <w:t xml:space="preserve"> (fame). The </w:t>
      </w:r>
      <w:r>
        <w:rPr>
          <w:i/>
          <w:iCs/>
        </w:rPr>
        <w:t xml:space="preserve">cursus honorum</w:t>
      </w:r>
      <w:r>
        <w:t xml:space="preserve">, the ladder of public offices, structured the ambitions of every aspiring aristocrat. Inscriptions throughout the empire recorded the offices men held, the buildings they funded and the honours they received. Leaders were expected to display their greatness publicly, and the display itself was a form of power.</w:t>
      </w:r>
    </w:p>
    <w:p>
      <w:pPr>
        <w:pStyle w:val="Body"/>
      </w:pPr>
      <w:r>
        <w:t xml:space="preserve">Alongside honour stood patronage. The Roman patron (</w:t>
      </w:r>
      <w:r>
        <w:rPr>
          <w:i/>
          <w:iCs/>
        </w:rPr>
        <w:t xml:space="preserve">patronus</w:t>
      </w:r>
      <w:r>
        <w:t xml:space="preserve">) provided protection, money and influence to his clients (</w:t>
      </w:r>
      <w:r>
        <w:rPr>
          <w:i/>
          <w:iCs/>
        </w:rPr>
        <w:t xml:space="preserve">clientes</w:t>
      </w:r>
      <w:r>
        <w:t xml:space="preserve">), who in return offered loyalty, public support and praise. Each morning clients gathered at their patron’s door for the </w:t>
      </w:r>
      <w:r>
        <w:rPr>
          <w:i/>
          <w:iCs/>
        </w:rPr>
        <w:t xml:space="preserve">salutatio</w:t>
      </w:r>
      <w:r>
        <w:t xml:space="preserve">, a daily ritual of deference.</w:t>
      </w:r>
      <w:hyperlink w:anchor="note_2_1">
        <w:r>
          <w:rPr>
            <w:rFonts w:ascii="Times New Roman" w:cs="Times New Roman" w:eastAsia="Times New Roman" w:hAnsi="Times New Roman"/>
            <w:vertAlign w:val="superscript"/>
          </w:rPr>
          <w:t xml:space="preserve">1</w:t>
        </w:r>
      </w:hyperlink>
      <w:r>
        <w:t xml:space="preserve"> The system was efficient, but it made power personal and made loyalty a commodity. A leader was great in proportion to the number of people who depended on him.</w:t>
      </w:r>
    </w:p>
    <w:p>
      <w:pPr>
        <w:pStyle w:val="Body"/>
      </w:pPr>
      <w:r>
        <w:t xml:space="preserve">It is not difficult to see how easily this model migrates into church life. The pastor becomes a patron, members become clients, and access to the leader becomes a mark of status. The New Testament directly confronts this. When the Corinthians divided into factions around favoured leaders, saying “I am of Paul; and I of Apollos” (1 Cor. 1:12), they were behaving like Roman clients attaching themselves to patrons. Paul’s response was to diminish the leaders: “Who then is Paul, and who is Apollos, but ministers by whom ye believed?” (1 Cor. 3:5).</w:t>
      </w:r>
    </w:p>
    <w:p>
      <w:pPr>
        <w:pStyle w:val="Heading2"/>
      </w:pPr>
      <w:r>
        <w:t xml:space="preserve">The Cult of the Ruler</w:t>
      </w:r>
    </w:p>
    <w:p>
      <w:pPr>
        <w:pStyle w:val="BodyFirst"/>
      </w:pPr>
      <w:r>
        <w:t xml:space="preserve">The most extreme form of Roman power was the imperial cult. After Julius Caesar’s death the senate declared him divine, and Augustus styled himself </w:t>
      </w:r>
      <w:r>
        <w:rPr>
          <w:i/>
          <w:iCs/>
        </w:rPr>
        <w:t xml:space="preserve">divi filius</w:t>
      </w:r>
      <w:r>
        <w:t xml:space="preserve">, “son of the divine one.” Temples to Rome and Augustus rose across the provinces. Though the early emperors generally declined formal worship in Rome during their lifetime, several of their successors were less restrained. Caligula demanded divine honours, and Domitian, according to the historian Suetonius, liked to be addressed as “our lord and god” (</w:t>
      </w:r>
      <w:r>
        <w:rPr>
          <w:i/>
          <w:iCs/>
        </w:rPr>
        <w:t xml:space="preserve">dominus et deus noster</w:t>
      </w:r>
      <w:r>
        <w:t xml:space="preserve">).</w:t>
      </w:r>
      <w:hyperlink w:anchor="note_2_2">
        <w:r>
          <w:rPr>
            <w:rFonts w:ascii="Times New Roman" w:cs="Times New Roman" w:eastAsia="Times New Roman" w:hAnsi="Times New Roman"/>
            <w:vertAlign w:val="superscript"/>
          </w:rPr>
          <w:t xml:space="preserve">2</w:t>
        </w:r>
      </w:hyperlink>
    </w:p>
    <w:p>
      <w:pPr>
        <w:pStyle w:val="Body"/>
      </w:pPr>
      <w:r>
        <w:t xml:space="preserve">The New Testament records a vivid instance of this temptation in a client king. Herod Agrippa I, arrayed in royal apparel, addressed the people of Caesarea, and they shouted, “It is the voice of a god, and not of a man. And immediately the angel of the Lord smote him, because he gave not God the glory” (Acts 12:22–23). The Jewish historian Josephus tells the same story independently, describing Agrippa’s garment of silver shining in the morning sun and his failure to rebuke the flatterers, followed by sudden and fatal illness.</w:t>
      </w:r>
      <w:hyperlink w:anchor="note_2_3">
        <w:r>
          <w:rPr>
            <w:rFonts w:ascii="Times New Roman" w:cs="Times New Roman" w:eastAsia="Times New Roman" w:hAnsi="Times New Roman"/>
            <w:vertAlign w:val="superscript"/>
          </w:rPr>
          <w:t xml:space="preserve">3</w:t>
        </w:r>
      </w:hyperlink>
      <w:r>
        <w:t xml:space="preserve"> The two accounts converge on the essential point: the leader accepted glory that belonged to God. It is a pitfall that has claimed many leaders since.</w:t>
      </w:r>
    </w:p>
    <w:p>
      <w:pPr>
        <w:pStyle w:val="Heading2"/>
      </w:pPr>
      <w:r>
        <w:t xml:space="preserve">Remember That You Are Mortal</w:t>
      </w:r>
    </w:p>
    <w:p>
      <w:pPr>
        <w:pStyle w:val="BodyFirst"/>
      </w:pPr>
      <w:r>
        <w:t xml:space="preserve">The Romans themselves knew the danger. When a victorious general rode through the streets of Rome in a triumph, the greatest honour the republic could bestow, a tradition held that a slave stood behind him in the chariot, reminding him of his mortality. The Christian writer Tertullian, around AD 197, recalls that the triumphing general was warned, “Look behind you; remember you are a man” (</w:t>
      </w:r>
      <w:r>
        <w:rPr>
          <w:i/>
          <w:iCs/>
        </w:rPr>
        <w:t xml:space="preserve">Respice post te! Hominem te memento</w:t>
      </w:r>
      <w:r>
        <w:t xml:space="preserve">).</w:t>
      </w:r>
      <w:hyperlink w:anchor="note_2_4">
        <w:r>
          <w:rPr>
            <w:rFonts w:ascii="Times New Roman" w:cs="Times New Roman" w:eastAsia="Times New Roman" w:hAnsi="Times New Roman"/>
            <w:vertAlign w:val="superscript"/>
          </w:rPr>
          <w:t xml:space="preserve">4</w:t>
        </w:r>
      </w:hyperlink>
      <w:r>
        <w:t xml:space="preserve"> Rome knew that the moment of greatest acclaim was the moment of greatest danger.</w:t>
      </w:r>
    </w:p>
    <w:p>
      <w:pPr>
        <w:pStyle w:val="Body"/>
      </w:pPr>
      <w:r>
        <w:t xml:space="preserve">The philosopher-emperor Marcus Aurelius, writing private notes to himself in the second century, gave himself a similar warning: “Take care that thou art not made into a Caesar, that thou art not dyed with this dye.”</w:t>
      </w:r>
      <w:hyperlink w:anchor="note_2_5">
        <w:r>
          <w:rPr>
            <w:rFonts w:ascii="Times New Roman" w:cs="Times New Roman" w:eastAsia="Times New Roman" w:hAnsi="Times New Roman"/>
            <w:vertAlign w:val="superscript"/>
          </w:rPr>
          <w:t xml:space="preserve">5</w:t>
        </w:r>
      </w:hyperlink>
      <w:r>
        <w:t xml:space="preserve"> The purple dye of imperial office, he recognised, could soak into a man’s character and change him. Few emperors heeded the warning.</w:t>
      </w:r>
    </w:p>
    <w:p>
      <w:pPr>
        <w:pStyle w:val="Heading2"/>
      </w:pPr>
      <w:r>
        <w:t xml:space="preserve">Portraits of Roman Failure</w:t>
      </w:r>
    </w:p>
    <w:p>
      <w:pPr>
        <w:pStyle w:val="BodyFirst"/>
      </w:pPr>
      <w:r>
        <w:t xml:space="preserve">Several figures from the Roman world appear in the pages of the New Testament, and each illustrates a leadership pitfall.</w:t>
      </w:r>
    </w:p>
    <w:p>
      <w:pPr>
        <w:pStyle w:val="Body"/>
      </w:pPr>
      <w:r>
        <w:rPr>
          <w:b/>
          <w:bCs/>
        </w:rPr>
        <w:t xml:space="preserve">Herod the Great</w:t>
      </w:r>
      <w:r>
        <w:t xml:space="preserve"> was a brilliant builder and a paranoid ruler. His massacre of the infants of Bethlehem (Matt. 2:16) fits the pattern of a man who executed his own wife Mariamne and several of his sons out of fear of rivals. The Latin writer Macrobius records a joke attributed to Augustus, who, punning on the Greek words for pig (</w:t>
      </w:r>
      <w:r>
        <w:rPr>
          <w:i/>
          <w:iCs/>
        </w:rPr>
        <w:t xml:space="preserve">hus</w:t>
      </w:r>
      <w:r>
        <w:t xml:space="preserve">) and son (</w:t>
      </w:r>
      <w:r>
        <w:rPr>
          <w:i/>
          <w:iCs/>
        </w:rPr>
        <w:t xml:space="preserve">huios</w:t>
      </w:r>
      <w:r>
        <w:t xml:space="preserve">), remarked that it was better to be Herod’s pig than his son, since as a Jew Herod would not eat pork.</w:t>
      </w:r>
      <w:hyperlink w:anchor="note_2_6">
        <w:r>
          <w:rPr>
            <w:rFonts w:ascii="Times New Roman" w:cs="Times New Roman" w:eastAsia="Times New Roman" w:hAnsi="Times New Roman"/>
            <w:vertAlign w:val="superscript"/>
          </w:rPr>
          <w:t xml:space="preserve">6</w:t>
        </w:r>
      </w:hyperlink>
      <w:r>
        <w:t xml:space="preserve"> Insecurity in a leader can turn protection into destruction.</w:t>
      </w:r>
    </w:p>
    <w:p>
      <w:pPr>
        <w:pStyle w:val="Body"/>
      </w:pPr>
      <w:r>
        <w:rPr>
          <w:b/>
          <w:bCs/>
        </w:rPr>
        <w:t xml:space="preserve">Pontius Pilate</w:t>
      </w:r>
      <w:r>
        <w:t xml:space="preserve"> illustrates the pitfall of fearing people more than truth. He found no fault in Jesus (John 18:38) and wished to release him, yet yielded when the crowd cried, “If thou let this man go, thou art not Caesar’s friend” (John 19:12). His ceremonial washing of hands (Matt. 27:24) is the permanent emblem of a leader who tries to escape responsibility for decisions he has made.</w:t>
      </w:r>
    </w:p>
    <w:p>
      <w:pPr>
        <w:pStyle w:val="Body"/>
      </w:pPr>
      <w:r>
        <w:rPr>
          <w:b/>
          <w:bCs/>
        </w:rPr>
        <w:t xml:space="preserve">Antonius Felix</w:t>
      </w:r>
      <w:r>
        <w:t xml:space="preserve">, governor of Judaea, kept Paul in custody for two years, hoping “that money should have been given him of Paul, that he might loose him” (Acts 24:26). The Roman historian Tacitus delivered a withering verdict on Felix, saying he exercised the power of a king with the mind of a slave.</w:t>
      </w:r>
      <w:hyperlink w:anchor="note_2_7">
        <w:r>
          <w:rPr>
            <w:rFonts w:ascii="Times New Roman" w:cs="Times New Roman" w:eastAsia="Times New Roman" w:hAnsi="Times New Roman"/>
            <w:vertAlign w:val="superscript"/>
          </w:rPr>
          <w:t xml:space="preserve">7</w:t>
        </w:r>
      </w:hyperlink>
      <w:r>
        <w:t xml:space="preserve"> Greed and small-mindedness in high office are a lethal combination.</w:t>
      </w:r>
    </w:p>
    <w:p>
      <w:pPr>
        <w:pStyle w:val="Body"/>
      </w:pPr>
      <w:r>
        <w:rPr>
          <w:b/>
          <w:bCs/>
        </w:rPr>
        <w:t xml:space="preserve">Seneca</w:t>
      </w:r>
      <w:r>
        <w:t xml:space="preserve">, the Stoic philosopher who tutored and advised Nero, offers a subtler warning. His writings on virtue, clemency and the simple life are among the finest moral essays of antiquity, yet he accumulated vast wealth in Nero’s service, and his critics accused him of hypocrisy.</w:t>
      </w:r>
      <w:hyperlink w:anchor="note_2_8">
        <w:r>
          <w:rPr>
            <w:rFonts w:ascii="Times New Roman" w:cs="Times New Roman" w:eastAsia="Times New Roman" w:hAnsi="Times New Roman"/>
            <w:vertAlign w:val="superscript"/>
          </w:rPr>
          <w:t xml:space="preserve">8</w:t>
        </w:r>
      </w:hyperlink>
      <w:r>
        <w:t xml:space="preserve"> Seneca’s case reminds us that it is possible to teach virtue eloquently while being slowly compromised by proximity to power.</w:t>
      </w:r>
    </w:p>
    <w:p>
      <w:pPr>
        <w:pStyle w:val="Heading2"/>
      </w:pPr>
      <w:r>
        <w:t xml:space="preserve">The Upside-Down Kingdom</w:t>
      </w:r>
    </w:p>
    <w:p>
      <w:pPr>
        <w:pStyle w:val="BodyFirst"/>
      </w:pPr>
      <w:r>
        <w:t xml:space="preserve">Against this backdrop, the teaching of Jesus on leadership is revolutionary. When James and John sought the seats of honour at his right and left hand, Jesus answered:</w:t>
      </w:r>
    </w:p>
    <w:p>
      <w:pPr>
        <w:pStyle w:val="Quote"/>
      </w:pPr>
      <w:r>
        <w:t xml:space="preserve">Ye know that they which are accounted to rule over the Gentiles exercise lordship over them; and their great ones exercise authority upon them. But so shall it not be among you: but whosoever will be great among you, shall be your minister: and whosoever of you will be the chiefest, shall be servant of all. For even the Son of man came not to be ministered unto, but to minister, and to give his life a ransom for many.</w:t>
      </w:r>
    </w:p>
    <w:p>
      <w:pPr>
        <w:spacing w:after="200"/>
        <w:ind w:right="576"/>
        <w:jc w:val="right"/>
      </w:pPr>
      <w:r>
        <w:rPr>
          <w:i/>
          <w:iCs/>
          <w:sz w:val="20"/>
          <w:szCs w:val="20"/>
        </w:rPr>
        <w:t xml:space="preserve">(Mark 10:42–45)</w:t>
      </w:r>
    </w:p>
    <w:p>
      <w:pPr>
        <w:pStyle w:val="BodyFirst"/>
      </w:pPr>
      <w:r>
        <w:t xml:space="preserve">Jesus did not abolish leadership; he redefined it. The measure of greatness is no longer how many serve you but how many you serve. He enacted this on the night of his betrayal by taking the towel and basin and washing his disciples’ feet (John 13:4–15), a task reserved for the lowest household slave.</w:t>
      </w:r>
    </w:p>
    <w:p>
      <w:pPr>
        <w:pStyle w:val="Body"/>
      </w:pPr>
      <w:r>
        <w:t xml:space="preserve">Paul’s great hymn in Philippians 2 describes the downward path of Christ, who “made himself of no reputation, and took upon him the form of a servant” (Phil. 2:7). In a culture obsessed with climbing the </w:t>
      </w:r>
      <w:r>
        <w:rPr>
          <w:i/>
          <w:iCs/>
        </w:rPr>
        <w:t xml:space="preserve">cursus honorum</w:t>
      </w:r>
      <w:r>
        <w:t xml:space="preserve">, the gospel presents a Lord who climbed down, and a God who “hath highly exalted him” precisely because he humbled himself (Phil. 2:9).</w:t>
      </w:r>
    </w:p>
    <w:p>
      <w:pPr>
        <w:pStyle w:val="Body"/>
      </w:pPr>
      <w:r>
        <w:t xml:space="preserve">Peter, who once drew a sword to defend his master, later wrote to elders: “Feed the flock of God which is among you, taking the oversight thereof, not by constraint, but willingly; not for filthy lucre, but of a ready mind; neither as being lords over God’s heritage, but being ensamples to the flock” (1 Pet. 5:2–3). In one sentence Peter names three Roman temptations, compulsion, greed and domination, and sets against them willingness, eagerness and example.</w:t>
      </w:r>
    </w:p>
    <w:p>
      <w:pPr>
        <w:pStyle w:val="Heading2"/>
      </w:pPr>
      <w:r>
        <w:t xml:space="preserve">Contemporary Implications</w:t>
      </w:r>
    </w:p>
    <w:p>
      <w:pPr>
        <w:pStyle w:val="BodyFirst"/>
      </w:pPr>
      <w:r>
        <w:t xml:space="preserve">The Roman world is gone, but its model of leadership persists. Wherever church leaders surround themselves with ceremony, demand titles, measure greatness by the size of their entourage, cultivate a class of clients dependent on their favour, or accept praise that belongs to God, Rome has quietly re-entered the Church. The German pastor Dietrich Bonhoeffer, broadcasting on the radio in February 1933, just days after Hitler became chancellor, warned that a leader who allows himself to become the idol of those he leads turns from a leader into a misleader. His broadcast was cut off before he finished.</w:t>
      </w:r>
      <w:hyperlink w:anchor="note_2_9">
        <w:r>
          <w:rPr>
            <w:rFonts w:ascii="Times New Roman" w:cs="Times New Roman" w:eastAsia="Times New Roman" w:hAnsi="Times New Roman"/>
            <w:vertAlign w:val="superscript"/>
          </w:rPr>
          <w:t xml:space="preserve">9</w:t>
        </w:r>
      </w:hyperlink>
    </w:p>
    <w:p>
      <w:pPr>
        <w:pStyle w:val="Body"/>
      </w:pPr>
      <w:r>
        <w:t xml:space="preserve">The antidote is not to despise authority but to recover the servant pattern of Christ. The remainder of this book examines the specific pitfalls into which leaders fall when they forget it.</w:t>
      </w:r>
    </w:p>
    <w:p>
      <w:pPr>
        <w:keepNext/>
        <w:pBdr>
          <w:top w:val="single" w:color="A67C1A" w:sz="6" w:space="8"/>
        </w:pBdr>
        <w:spacing w:after="120" w:before="360"/>
      </w:pPr>
      <w:r>
        <w:rPr>
          <w:b/>
          <w:bCs/>
          <w:smallCaps/>
          <w:color w:val="1F3864"/>
          <w:spacing w:val="20"/>
          <w:sz w:val="22"/>
          <w:szCs w:val="22"/>
        </w:rPr>
        <w:t xml:space="preserve">For Reflection and Discussion</w:t>
      </w:r>
    </w:p>
    <w:p>
      <w:pPr>
        <w:keepNext/>
        <w:keepLines/>
        <w:tabs>
          <w:tab w:val="left" w:pos="360"/>
        </w:tabs>
        <w:spacing w:after="80" w:line="276"/>
        <w:ind w:left="360" w:hanging="360"/>
      </w:pPr>
      <w:r>
        <w:rPr>
          <w:b/>
          <w:bCs/>
          <w:color w:val="A67C1A"/>
          <w:sz w:val="21"/>
          <w:szCs w:val="21"/>
        </w:rPr>
        <w:t xml:space="preserve">1.</w:t>
      </w:r>
      <w:r>
        <w:t xml:space="preserve">	</w:t>
      </w:r>
      <w:r>
        <w:rPr>
          <w:sz w:val="21"/>
          <w:szCs w:val="21"/>
        </w:rPr>
        <w:t xml:space="preserve">In what ways does the Roman system of patrons and clients resemble church life in your context?</w:t>
      </w:r>
    </w:p>
    <w:p>
      <w:pPr>
        <w:keepNext/>
        <w:keepLines/>
        <w:tabs>
          <w:tab w:val="left" w:pos="360"/>
        </w:tabs>
        <w:spacing w:after="80" w:line="276"/>
        <w:ind w:left="360" w:hanging="360"/>
      </w:pPr>
      <w:r>
        <w:rPr>
          <w:b/>
          <w:bCs/>
          <w:color w:val="A67C1A"/>
          <w:sz w:val="21"/>
          <w:szCs w:val="21"/>
        </w:rPr>
        <w:t xml:space="preserve">2.</w:t>
      </w:r>
      <w:r>
        <w:t xml:space="preserve">	</w:t>
      </w:r>
      <w:r>
        <w:rPr>
          <w:sz w:val="21"/>
          <w:szCs w:val="21"/>
        </w:rPr>
        <w:t xml:space="preserve">How does the account of Herod Agrippa (Acts 12) challenge the way leaders receive praise?</w:t>
      </w:r>
    </w:p>
    <w:p>
      <w:pPr>
        <w:keepNext/>
        <w:keepLines/>
        <w:tabs>
          <w:tab w:val="left" w:pos="360"/>
        </w:tabs>
        <w:spacing w:after="80" w:line="276"/>
        <w:ind w:left="360" w:hanging="360"/>
      </w:pPr>
      <w:r>
        <w:rPr>
          <w:b/>
          <w:bCs/>
          <w:color w:val="A67C1A"/>
          <w:sz w:val="21"/>
          <w:szCs w:val="21"/>
        </w:rPr>
        <w:t xml:space="preserve">3.</w:t>
      </w:r>
      <w:r>
        <w:t xml:space="preserve">	</w:t>
      </w:r>
      <w:r>
        <w:rPr>
          <w:sz w:val="21"/>
          <w:szCs w:val="21"/>
        </w:rPr>
        <w:t xml:space="preserve">Jesus said of worldly lordship, “So shall it not be among you.” What practical differences should this make to how a pastor relates to members?</w:t>
      </w:r>
    </w:p>
    <w:p>
      <w:pPr>
        <w:keepNext w:val="false"/>
        <w:keepLines/>
        <w:tabs>
          <w:tab w:val="left" w:pos="360"/>
        </w:tabs>
        <w:spacing w:after="80" w:line="276"/>
        <w:ind w:left="360" w:hanging="360"/>
      </w:pPr>
      <w:r>
        <w:rPr>
          <w:b/>
          <w:bCs/>
          <w:color w:val="A67C1A"/>
          <w:sz w:val="21"/>
          <w:szCs w:val="21"/>
        </w:rPr>
        <w:t xml:space="preserve">4.</w:t>
      </w:r>
      <w:r>
        <w:t xml:space="preserve">	</w:t>
      </w:r>
      <w:r>
        <w:rPr>
          <w:sz w:val="21"/>
          <w:szCs w:val="21"/>
        </w:rPr>
        <w:t xml:space="preserve">What forms of ceremony, protocol or titles in your church help people, and which ones separate the leader from the flock?</w:t>
      </w:r>
    </w:p>
    <w:p>
      <w:pPr>
        <w:sectPr>
          <w:headerReference w:type="default" r:id="rId35"/>
          <w:headerReference w:type="first" r:id="rId36"/>
          <w:footerReference w:type="default" r:id="rId37"/>
          <w:footerReference w:type="first" r:id="rId38"/>
          <w:type w:val="nextPage"/>
          <w:pgSz w:w="8640" w:h="12960" w:orient="portrait"/>
          <w:pgMar w:top="1080" w:right="936" w:bottom="1008" w:left="1008" w:header="560" w:footer="520" w:gutter="0"/>
          <w:pgNumType w:fmt="decimal"/>
          <w:titlePg/>
          <w:docGrid w:linePitch="360"/>
        </w:sectPr>
      </w:pPr>
    </w:p>
    <w:p>
      <w:pPr>
        <w:spacing w:after="240"/>
        <w:jc w:val="center"/>
      </w:pPr>
      <w:r>
        <w:rPr>
          <w:b/>
          <w:bCs/>
          <w:color w:val="A67C1A"/>
          <w:spacing w:val="120"/>
          <w:sz w:val="24"/>
          <w:szCs w:val="24"/>
        </w:rPr>
        <w:t xml:space="preserve">PART TWO</w:t>
      </w:r>
    </w:p>
    <w:p>
      <w:pPr>
        <w:spacing w:after="120"/>
        <w:jc w:val="center"/>
      </w:pPr>
      <w:r>
        <w:rPr>
          <w:color w:val="1F3864"/>
          <w:sz w:val="52"/>
          <w:szCs w:val="52"/>
        </w:rPr>
        <w:t xml:space="preserve">Pitfalls Traced Through Scripture</w:t>
      </w:r>
    </w:p>
    <w:p>
      <w:pPr>
        <w:pBdr>
          <w:bottom w:val="single" w:color="A67C1A" w:sz="8" w:space="1"/>
        </w:pBdr>
        <w:spacing w:after="240" w:before="120"/>
        <w:ind w:left="2648" w:right="2648"/>
        <w:jc w:val="center"/>
      </w:pPr>
    </w:p>
    <w:p>
      <w:pPr>
        <w:ind w:left="720" w:right="720"/>
        <w:jc w:val="center"/>
      </w:pPr>
      <w:r>
        <w:rPr>
          <w:i/>
          <w:iCs/>
          <w:color w:val="555555"/>
          <w:sz w:val="23"/>
          <w:szCs w:val="23"/>
        </w:rPr>
        <w:t xml:space="preserve">Eleven snares that have entangled leaders from Genesis to Revelation</w:t>
      </w:r>
    </w:p>
    <w:p>
      <w:pPr>
        <w:sectPr>
          <w:headerReference w:type="default" r:id="rId39"/>
          <w:headerReference w:type="first" r:id="rId40"/>
          <w:footerReference w:type="default" r:id="rId41"/>
          <w:footerReference w:type="first" r:id="rId42"/>
          <w:type w:val="nextPage"/>
          <w:pgSz w:w="8640" w:h="12960" w:orient="portrait"/>
          <w:pgMar w:top="1080" w:right="936" w:bottom="1008" w:left="1008" w:header="560" w:footer="520" w:gutter="0"/>
          <w:pgNumType w:fmt="decimal"/>
          <w:vAlign w:val="center"/>
          <w:titlePg/>
          <w:docGrid w:linePitch="360"/>
        </w:sectPr>
      </w:pPr>
    </w:p>
    <w:p>
      <w:pPr>
        <w:spacing w:after="160" w:before="1300"/>
        <w:jc w:val="center"/>
      </w:pPr>
      <w:r>
        <w:rPr>
          <w:b/>
          <w:bCs/>
          <w:color w:val="A67C1A"/>
          <w:spacing w:val="60"/>
          <w:sz w:val="20"/>
          <w:szCs w:val="20"/>
        </w:rPr>
        <w:t xml:space="preserve">CHAPTER 3</w:t>
      </w:r>
    </w:p>
    <w:p>
      <w:pPr>
        <w:pStyle w:val="Heading1"/>
      </w:pPr>
      <w:bookmarkStart w:id="1077" w:name="toc_144"/>
      <w:r>
        <w:t xml:space="preserve">Pride: The Pitfall Beneath All Pitfalls</w:t>
      </w:r>
      <w:bookmarkEnd w:id="1077"/>
    </w:p>
    <w:p>
      <w:pPr>
        <w:spacing w:after="60" w:before="60" w:line="276"/>
        <w:ind w:left="720" w:right="720"/>
        <w:jc w:val="center"/>
      </w:pPr>
      <w:r>
        <w:rPr>
          <w:i/>
          <w:iCs/>
          <w:color w:val="555555"/>
          <w:sz w:val="21"/>
          <w:szCs w:val="21"/>
        </w:rPr>
        <w:t xml:space="preserve">Pride goeth before destruction, and an haughty spirit before a fall.</w:t>
      </w:r>
    </w:p>
    <w:p>
      <w:pPr>
        <w:spacing w:after="480"/>
        <w:jc w:val="center"/>
      </w:pPr>
      <w:r>
        <w:rPr>
          <w:color w:val="A67C1A"/>
          <w:sz w:val="19"/>
          <w:szCs w:val="19"/>
        </w:rPr>
        <w:t xml:space="preserve">— </w:t>
      </w:r>
      <w:r>
        <w:rPr>
          <w:smallCaps/>
          <w:color w:val="A67C1A"/>
          <w:sz w:val="19"/>
          <w:szCs w:val="19"/>
        </w:rPr>
        <w:t xml:space="preserve">Proverbs 16:18</w:t>
      </w:r>
    </w:p>
    <w:p>
      <w:pPr>
        <w:pStyle w:val="BodyFirst"/>
      </w:pPr>
      <w:r>
        <w:t xml:space="preserve">If there is one pitfall from which all others spring, it is pride. The Church Fathers regularly treated pride as the root of sin, and Augustine argued that the fall of both angels and humanity began when the creature turned from God to delight in itself.</w:t>
      </w:r>
      <w:hyperlink w:anchor="note_3_1">
        <w:r>
          <w:rPr>
            <w:rFonts w:ascii="Times New Roman" w:cs="Times New Roman" w:eastAsia="Times New Roman" w:hAnsi="Times New Roman"/>
            <w:vertAlign w:val="superscript"/>
          </w:rPr>
          <w:t xml:space="preserve">1</w:t>
        </w:r>
      </w:hyperlink>
      <w:r>
        <w:t xml:space="preserve"> Pride is especially dangerous for leaders because leadership constantly feeds it. The leader is consulted, praised, deferred to and followed. Unless he is vigilant, he will begin to believe that the attention he receives is a measure of his own worth rather than a trust from God.</w:t>
      </w:r>
    </w:p>
    <w:p>
      <w:pPr>
        <w:pStyle w:val="Heading2"/>
      </w:pPr>
      <w:r>
        <w:t xml:space="preserve">Uzziah: Strength That Became Weakness</w:t>
      </w:r>
    </w:p>
    <w:p>
      <w:pPr>
        <w:pStyle w:val="BodyFirst"/>
      </w:pPr>
      <w:r>
        <w:t xml:space="preserve">The story of King Uzziah in 2 Chronicles 26 is perhaps the clearest biblical case study of pride. Uzziah began exceptionally well. He became king at sixteen and “sought God in the days of Zechariah, who had understanding in the visions of God: and as long as he sought the LORD, God made him to prosper” (2 Chr. 26:5). He won military victories, built towers, dug wells, loved agriculture and developed advanced weapons. “His name spread far abroad; for he was marvellously helped, till he was strong” (26:15).</w:t>
      </w:r>
    </w:p>
    <w:p>
      <w:pPr>
        <w:pStyle w:val="Body"/>
      </w:pPr>
      <w:r>
        <w:t xml:space="preserve">Then comes the turning point: “But when he was strong, his heart was lifted up to his destruction: for he transgressed against the LORD his God, and went into the temple of the LORD to burn incense upon the altar of incense” (26:16). Uzziah, the successful king, decided that he could also be a priest. His success persuaded him that no boundary applied to him. When eighty priests withstood him, he raged against them, and leprosy broke out on his forehead. He remained a leper until his death, living in a separate house, “cut off from the house of the LORD” (26:21).</w:t>
      </w:r>
    </w:p>
    <w:p>
      <w:pPr>
        <w:pStyle w:val="Body"/>
      </w:pPr>
      <w:r>
        <w:t xml:space="preserve">Three lessons stand out. First, Uzziah’s decline began with the loss of a spiritual mentor; the phrase “in the days of Zechariah” hints that his seeking of God was connected to that relationship. Second, the danger came through success, not failure. Third, pride expressed itself as a refusal to accept boundaries and a rage against correction.</w:t>
      </w:r>
    </w:p>
    <w:p>
      <w:pPr>
        <w:pStyle w:val="Heading2"/>
      </w:pPr>
      <w:r>
        <w:t xml:space="preserve">Saul: Small in His Own Eyes No Longer</w:t>
      </w:r>
    </w:p>
    <w:p>
      <w:pPr>
        <w:pStyle w:val="BodyFirst"/>
      </w:pPr>
      <w:r>
        <w:t xml:space="preserve">Saul began humbly. When chosen as king he “hid himself among the stuff” (1 Sam. 10:22). Samuel later reminded him, “When thou wast little in thine own sight, wast thou not made the head of the tribes of Israel?” (1 Sam. 15:17). The tragedy of Saul is the story of a man who grew large in his own eyes. After his victory over the Amalekites he “set him up a place,” a monument to himself, at Carmel (15:12). When rebuked for disobedience, his chief concern was his reputation: “Honour me now, I pray thee, before the elders of my people” (15:30). The leader who is more concerned about losing face than about losing God’s favour has already fallen, whatever his outward position.</w:t>
      </w:r>
    </w:p>
    <w:p>
      <w:pPr>
        <w:pStyle w:val="Heading2"/>
      </w:pPr>
      <w:r>
        <w:t xml:space="preserve">Nebuchadnezzar and the Madness of Self-Glory</w:t>
      </w:r>
    </w:p>
    <w:p>
      <w:pPr>
        <w:pStyle w:val="BodyFirst"/>
      </w:pPr>
      <w:r>
        <w:t xml:space="preserve">The Babylonian king Nebuchadnezzar walked on the roof of his palace and said, “Is not this great Babylon, that I have built for the house of the kingdom by the might of my power, and for the honour of my majesty?” (Dan. 4:30). While the words were still in his mouth, judgement fell, and he was driven from human society until he learned “that the most High ruleth in the kingdom of men” (4:32). His restoration came when he “lifted up mine eyes unto heaven” (4:34). Pride is fundamentally a failure to look up. It fixes the gaze on one’s own achievements and forgets the Giver.</w:t>
      </w:r>
    </w:p>
    <w:p>
      <w:pPr>
        <w:pStyle w:val="Heading2"/>
      </w:pPr>
      <w:r>
        <w:t xml:space="preserve">Hezekiah and the Pride of Display</w:t>
      </w:r>
    </w:p>
    <w:p>
      <w:pPr>
        <w:pStyle w:val="BodyFirst"/>
      </w:pPr>
      <w:r>
        <w:t xml:space="preserve">Even good leaders are vulnerable. Hezekiah, one of Judah’s most faithful kings, received envoys from Babylon after his miraculous healing and “shewed them all the house of his precious things, the silver, and the gold… there was nothing in his house, nor in all his dominion, that Hezekiah shewed them not” (2 Kgs. 20:13). The Chronicler explains that “Hezekiah rendered not again according to the benefit done unto him; for his heart was lifted up” (2 Chr. 32:25). Isaiah announced that everything he had displayed would one day be carried to Babylon. The desire to impress visitors with one’s resources, buildings and achievements is a subtle but real form of pride.</w:t>
      </w:r>
    </w:p>
    <w:p>
      <w:pPr>
        <w:pStyle w:val="Heading2"/>
      </w:pPr>
      <w:r>
        <w:t xml:space="preserve">The New Testament Diagnosis</w:t>
      </w:r>
    </w:p>
    <w:p>
      <w:pPr>
        <w:pStyle w:val="BodyFirst"/>
      </w:pPr>
      <w:r>
        <w:t xml:space="preserve">The New Testament consistently commends humility as the leader’s garment. Peter urges, “Yea, all of you be subject one to another, and be clothed with humility: for God resisteth the proud, and giveth grace to the humble” (1 Pet. 5:5). Paul warns that an overseer must not be “a novice, lest being lifted up with pride he fall into the condemnation of the devil” (1 Tim. 3:6). The connection between pride and the devil’s own fall is deliberate: pride is the original satanic sin.</w:t>
      </w:r>
    </w:p>
    <w:p>
      <w:pPr>
        <w:pStyle w:val="Body"/>
      </w:pPr>
      <w:r>
        <w:t xml:space="preserve">Jesus condemned the religious leaders who loved “the uppermost rooms at feasts, and the chief seats in the synagogues, and greetings in the markets, and to be called of men, Rabbi, Rabbi” (Matt. 23:6–7). Every item on the list concerns public recognition: seats, greetings, titles. Jesus’s response was to forbid his disciples from seeking such titles, “for one is your Master, even Christ; and all ye are brethren” (23:8).</w:t>
      </w:r>
    </w:p>
    <w:p>
      <w:pPr>
        <w:pStyle w:val="Heading2"/>
      </w:pPr>
      <w:r>
        <w:t xml:space="preserve">Contemporary Implications</w:t>
      </w:r>
    </w:p>
    <w:p>
      <w:pPr>
        <w:pStyle w:val="BodyFirst"/>
      </w:pPr>
      <w:r>
        <w:t xml:space="preserve">Pride in contemporary leadership rarely announces itself. It appears as an inability to share credit, an insistence on titles, a growing entourage, hostility to criticism, and the assumption that the leader’s view is the Lord’s view. It appears when leaders speak more of “my church” and “my ministry” than of Christ’s. In an age of social media, pride is fed by metrics: followers, views, attendance figures and invitations. The Catholic priest and writer Henri Nouwen, after years at Harvard and Yale, observed that leaders are tempted to be relevant, spectacular and powerful, the same three temptations Jesus faced in the wilderness.</w:t>
      </w:r>
      <w:hyperlink w:anchor="note_3_2">
        <w:r>
          <w:rPr>
            <w:rFonts w:ascii="Times New Roman" w:cs="Times New Roman" w:eastAsia="Times New Roman" w:hAnsi="Times New Roman"/>
            <w:vertAlign w:val="superscript"/>
          </w:rPr>
          <w:t xml:space="preserve">2</w:t>
        </w:r>
      </w:hyperlink>
    </w:p>
    <w:p>
      <w:pPr>
        <w:pStyle w:val="Body"/>
      </w:pPr>
      <w:r>
        <w:t xml:space="preserve">The remedy is not self-contempt but a right view of God. Isaiah saw the Lord “high and lifted up” in the very year that proud King Uzziah died (Isa. 6:1). The collapse of a proud human leader became the occasion of a vision of the true King. Every leader needs that vision renewed often.</w:t>
      </w:r>
    </w:p>
    <w:p>
      <w:pPr>
        <w:keepNext/>
        <w:pBdr>
          <w:top w:val="single" w:color="A67C1A" w:sz="6" w:space="8"/>
        </w:pBdr>
        <w:spacing w:after="120" w:before="360"/>
      </w:pPr>
      <w:r>
        <w:rPr>
          <w:b/>
          <w:bCs/>
          <w:smallCaps/>
          <w:color w:val="1F3864"/>
          <w:spacing w:val="20"/>
          <w:sz w:val="22"/>
          <w:szCs w:val="22"/>
        </w:rPr>
        <w:t xml:space="preserve">For Reflection and Discussion</w:t>
      </w:r>
    </w:p>
    <w:p>
      <w:pPr>
        <w:keepNext/>
        <w:keepLines/>
        <w:tabs>
          <w:tab w:val="left" w:pos="360"/>
        </w:tabs>
        <w:spacing w:after="80" w:line="276"/>
        <w:ind w:left="360" w:hanging="360"/>
      </w:pPr>
      <w:r>
        <w:rPr>
          <w:b/>
          <w:bCs/>
          <w:color w:val="A67C1A"/>
          <w:sz w:val="21"/>
          <w:szCs w:val="21"/>
        </w:rPr>
        <w:t xml:space="preserve">1.</w:t>
      </w:r>
      <w:r>
        <w:t xml:space="preserve">	</w:t>
      </w:r>
      <w:r>
        <w:rPr>
          <w:sz w:val="21"/>
          <w:szCs w:val="21"/>
        </w:rPr>
        <w:t xml:space="preserve">Uzziah was “marvellously helped, till he was strong.” How can success become a spiritual danger?</w:t>
      </w:r>
    </w:p>
    <w:p>
      <w:pPr>
        <w:keepNext/>
        <w:keepLines/>
        <w:tabs>
          <w:tab w:val="left" w:pos="360"/>
        </w:tabs>
        <w:spacing w:after="80" w:line="276"/>
        <w:ind w:left="360" w:hanging="360"/>
      </w:pPr>
      <w:r>
        <w:rPr>
          <w:b/>
          <w:bCs/>
          <w:color w:val="A67C1A"/>
          <w:sz w:val="21"/>
          <w:szCs w:val="21"/>
        </w:rPr>
        <w:t xml:space="preserve">2.</w:t>
      </w:r>
      <w:r>
        <w:t xml:space="preserve">	</w:t>
      </w:r>
      <w:r>
        <w:rPr>
          <w:sz w:val="21"/>
          <w:szCs w:val="21"/>
        </w:rPr>
        <w:t xml:space="preserve">What are the signs that a leader has become “large in his own eyes,” as Saul did?</w:t>
      </w:r>
    </w:p>
    <w:p>
      <w:pPr>
        <w:keepNext/>
        <w:keepLines/>
        <w:tabs>
          <w:tab w:val="left" w:pos="360"/>
        </w:tabs>
        <w:spacing w:after="80" w:line="276"/>
        <w:ind w:left="360" w:hanging="360"/>
      </w:pPr>
      <w:r>
        <w:rPr>
          <w:b/>
          <w:bCs/>
          <w:color w:val="A67C1A"/>
          <w:sz w:val="21"/>
          <w:szCs w:val="21"/>
        </w:rPr>
        <w:t xml:space="preserve">3.</w:t>
      </w:r>
      <w:r>
        <w:t xml:space="preserve">	</w:t>
      </w:r>
      <w:r>
        <w:rPr>
          <w:sz w:val="21"/>
          <w:szCs w:val="21"/>
        </w:rPr>
        <w:t xml:space="preserve">How do social media and attendance figures feed pride in ministry today?</w:t>
      </w:r>
    </w:p>
    <w:p>
      <w:pPr>
        <w:keepNext w:val="false"/>
        <w:keepLines/>
        <w:tabs>
          <w:tab w:val="left" w:pos="360"/>
        </w:tabs>
        <w:spacing w:after="80" w:line="276"/>
        <w:ind w:left="360" w:hanging="360"/>
      </w:pPr>
      <w:r>
        <w:rPr>
          <w:b/>
          <w:bCs/>
          <w:color w:val="A67C1A"/>
          <w:sz w:val="21"/>
          <w:szCs w:val="21"/>
        </w:rPr>
        <w:t xml:space="preserve">4.</w:t>
      </w:r>
      <w:r>
        <w:t xml:space="preserve">	</w:t>
      </w:r>
      <w:r>
        <w:rPr>
          <w:sz w:val="21"/>
          <w:szCs w:val="21"/>
        </w:rPr>
        <w:t xml:space="preserve">What habits help a leader keep “a right view of God” in seasons of success?</w:t>
      </w:r>
    </w:p>
    <w:p>
      <w:pPr>
        <w:sectPr>
          <w:headerReference w:type="default" r:id="rId43"/>
          <w:headerReference w:type="first" r:id="rId44"/>
          <w:footerReference w:type="default" r:id="rId45"/>
          <w:footerReference w:type="first" r:id="rId46"/>
          <w:type w:val="nextPage"/>
          <w:pgSz w:w="8640" w:h="12960" w:orient="portrait"/>
          <w:pgMar w:top="1080" w:right="936" w:bottom="1008" w:left="1008" w:header="560" w:footer="520" w:gutter="0"/>
          <w:pgNumType w:fmt="decimal"/>
          <w:titlePg/>
          <w:docGrid w:linePitch="360"/>
        </w:sectPr>
      </w:pPr>
    </w:p>
    <w:p>
      <w:pPr>
        <w:spacing w:after="160" w:before="1300"/>
        <w:jc w:val="center"/>
      </w:pPr>
      <w:r>
        <w:rPr>
          <w:b/>
          <w:bCs/>
          <w:color w:val="A67C1A"/>
          <w:spacing w:val="60"/>
          <w:sz w:val="20"/>
          <w:szCs w:val="20"/>
        </w:rPr>
        <w:t xml:space="preserve">CHAPTER 4</w:t>
      </w:r>
    </w:p>
    <w:p>
      <w:pPr>
        <w:pStyle w:val="Heading1"/>
      </w:pPr>
      <w:bookmarkStart w:id="1078" w:name="toc_171"/>
      <w:r>
        <w:t xml:space="preserve">Greed: The Love of Money and the Price of Ministry</w:t>
      </w:r>
      <w:bookmarkEnd w:id="1078"/>
    </w:p>
    <w:p>
      <w:pPr>
        <w:spacing w:after="60" w:before="60" w:line="276"/>
        <w:ind w:left="720" w:right="720"/>
        <w:jc w:val="center"/>
      </w:pPr>
      <w:r>
        <w:rPr>
          <w:i/>
          <w:iCs/>
          <w:color w:val="555555"/>
          <w:sz w:val="21"/>
          <w:szCs w:val="21"/>
        </w:rPr>
        <w:t xml:space="preserve">For the love of money is the root of all evil: which while some coveted after, they have erred from the faith, and pierced themselves through with many sorrows.</w:t>
      </w:r>
    </w:p>
    <w:p>
      <w:pPr>
        <w:spacing w:after="480"/>
        <w:jc w:val="center"/>
      </w:pPr>
      <w:r>
        <w:rPr>
          <w:color w:val="A67C1A"/>
          <w:sz w:val="19"/>
          <w:szCs w:val="19"/>
        </w:rPr>
        <w:t xml:space="preserve">— </w:t>
      </w:r>
      <w:r>
        <w:rPr>
          <w:smallCaps/>
          <w:color w:val="A67C1A"/>
          <w:sz w:val="19"/>
          <w:szCs w:val="19"/>
        </w:rPr>
        <w:t xml:space="preserve">1 Timothy 6:10</w:t>
      </w:r>
    </w:p>
    <w:p>
      <w:pPr>
        <w:pStyle w:val="BodyFirst"/>
      </w:pPr>
      <w:r>
        <w:t xml:space="preserve">Money is one of the most common reasons that leaders fall, and one of the most frequently mentioned in Scripture’s qualifications for leadership. Paul requires that an overseer be “not greedy of filthy lucre… not covetous” (1 Tim. 3:3). Deacons likewise must be “not greedy of filthy lucre” (1 Tim. 3:8). Titus is told that elders must not be “given to filthy lucre” (Titus 1:7), and Paul warns of teachers “teaching things which they ought not, for filthy lucre’s sake” (Titus 1:11). Peter exhorts elders to shepherd “not for filthy lucre” (1 Pet. 5:2). The repetition is striking. The apostles knew that ministry would attract those who saw in it a means of gain.</w:t>
      </w:r>
    </w:p>
    <w:p>
      <w:pPr>
        <w:pStyle w:val="Heading2"/>
      </w:pPr>
      <w:r>
        <w:t xml:space="preserve">Balaam: The Prophet for Hire</w:t>
      </w:r>
    </w:p>
    <w:p>
      <w:pPr>
        <w:pStyle w:val="BodyFirst"/>
      </w:pPr>
      <w:r>
        <w:t xml:space="preserve">Balaam is the New Testament’s archetype of the greedy religious leader. Hired by Balak to curse Israel, he could not curse whom God had blessed, yet he kept seeking a way to earn his fee. Peter describes false teachers who have “forsaken the right way… following the way of Balaam the son of Bosor, who loved the wages of unrighteousness” (2 Pet. 2:15). Jude speaks of those who “ran greedily after the error of Balaam for reward” (Jude 11). Revelation reveals that Balaam’s final strategy was to teach Balak how to entice Israel into idolatry and immorality (Rev. 2:14; compare Num. 31:16). The progression is chilling: a genuine prophet, once motivated by money, eventually devised the very strategy that led God’s people into sin.</w:t>
      </w:r>
    </w:p>
    <w:p>
      <w:pPr>
        <w:pStyle w:val="Heading2"/>
      </w:pPr>
      <w:r>
        <w:t xml:space="preserve">Gehazi: Commercialising the Grace of God</w:t>
      </w:r>
    </w:p>
    <w:p>
      <w:pPr>
        <w:pStyle w:val="BodyFirst"/>
      </w:pPr>
      <w:r>
        <w:t xml:space="preserve">Gehazi served Elisha, one of the greatest prophets in Israel’s history. When Naaman the Syrian was healed of leprosy, he urged Elisha to accept a gift, but the prophet refused: “As the LORD liveth, before whom I stand, I will receive none” (2 Kgs. 5:16). Elisha understood that God’s grace must not be sold. Gehazi, however, reasoned privately that his master had let Naaman off too lightly. He ran after the Syrian, invented a story about visiting prophets in need, and received silver and garments, which he hid in his house.</w:t>
      </w:r>
    </w:p>
    <w:p>
      <w:pPr>
        <w:pStyle w:val="Body"/>
      </w:pPr>
      <w:r>
        <w:t xml:space="preserve">Elisha’s rebuke is one of the most searching questions ever put to a servant of God: “Is it a time to receive money, and to receive garments, and oliveyards, and vineyards, and sheep, and oxen, and menservants, and maidservants?” (2 Kgs. 5:26). The leprosy of Naaman clung to Gehazi. The man who had stood closest to the prophet’s anointing lost everything because he could not resist turning grace into gain.</w:t>
      </w:r>
    </w:p>
    <w:p>
      <w:pPr>
        <w:pStyle w:val="Heading2"/>
      </w:pPr>
      <w:r>
        <w:t xml:space="preserve">The Sons of Eli and the Sons of Samuel</w:t>
      </w:r>
    </w:p>
    <w:p>
      <w:pPr>
        <w:pStyle w:val="BodyFirst"/>
      </w:pPr>
      <w:r>
        <w:t xml:space="preserve">Eli’s sons, Hophni and Phinehas, were priests who used their office to take the best portions of the sacrifices by force (1 Sam. 2:12–17). “The sin of the young men was very great before the LORD: for men abhorred the offering of the LORD” (2:17). The greed of leaders made people despise worship itself. Tragically, Samuel’s sons repeated the pattern in another form: they “turned aside after lucre, and took bribes, and perverted judgment” (1 Sam. 8:3). Their greed became the stated reason for Israel’s demand for a king. The greed of one generation of leaders can reshape the destiny of a whole nation.</w:t>
      </w:r>
    </w:p>
    <w:p>
      <w:pPr>
        <w:pStyle w:val="Heading2"/>
      </w:pPr>
      <w:r>
        <w:t xml:space="preserve">Judas: The Treasurer Who Stole</w:t>
      </w:r>
    </w:p>
    <w:p>
      <w:pPr>
        <w:pStyle w:val="BodyFirst"/>
      </w:pPr>
      <w:r>
        <w:t xml:space="preserve">Judas Iscariot held the common purse of the disciples. John records that when Mary anointed Jesus with costly ointment, Judas objected that it should have been sold for the poor, “not that he cared for the poor; but because he was a thief, and had the bag, and bare what was put therein” (John 12:6). Judas’s betrayal for thirty pieces of silver did not come from nowhere. It grew out of a long pattern of pilfering from a trust he had been given. Small dishonesty in handling ministry funds can grow into catastrophic betrayal.</w:t>
      </w:r>
    </w:p>
    <w:p>
      <w:pPr>
        <w:pStyle w:val="Heading2"/>
      </w:pPr>
      <w:r>
        <w:t xml:space="preserve">Simon Magus and Ananias</w:t>
      </w:r>
    </w:p>
    <w:p>
      <w:pPr>
        <w:pStyle w:val="BodyFirst"/>
      </w:pPr>
      <w:r>
        <w:t xml:space="preserve">In Acts, Simon the sorcerer offered money to purchase the power to impart the Holy Spirit. Peter’s reply was unsparing: “Thy money perish with thee, because thou hast thought that the gift of God may be purchased with money” (Acts 8:20). The later Church named the sin of buying and selling spiritual office “simony” after him. Ananias and Sapphira, by contrast, were not selling the Spirit; they were seeking the reputation of generosity while secretly keeping back part of the price (Acts 5:1–11). Their sin combined greed with deception and image management, and it was judged with sobering severity.</w:t>
      </w:r>
    </w:p>
    <w:p>
      <w:pPr>
        <w:pStyle w:val="Heading2"/>
      </w:pPr>
      <w:r>
        <w:t xml:space="preserve">Contentment and Accountability</w:t>
      </w:r>
    </w:p>
    <w:p>
      <w:pPr>
        <w:pStyle w:val="BodyFirst"/>
      </w:pPr>
      <w:r>
        <w:t xml:space="preserve">Paul offers both a spiritual and a practical answer to greed. Spiritually, he commends contentment: “godliness with contentment is great gain… having food and raiment let us be therewith content” (1 Tim. 6:6, 8). He himself had “learned, in whatsoever state I am, therewith to be content” (Phil. 4:11). Practically, he insisted on transparent arrangements for handling money. When collecting the offering for Jerusalem, he ensured that trusted representatives travelled with the funds, “providing for honest things, not only in the sight of the Lord, but also in the sight of men” (2 Cor. 8:21). He refused to let his ministry be vulnerable to suspicion.</w:t>
      </w:r>
    </w:p>
    <w:p>
      <w:pPr>
        <w:pStyle w:val="Heading2"/>
      </w:pPr>
      <w:r>
        <w:t xml:space="preserve">Contemporary Implications</w:t>
      </w:r>
    </w:p>
    <w:p>
      <w:pPr>
        <w:pStyle w:val="BodyFirst"/>
      </w:pPr>
      <w:r>
        <w:t xml:space="preserve">The temptation of money is especially acute where ministry and economic survival overlap, where the pastor is also the founder, the chief financial decision-maker and the principal beneficiary. Where there are no independent boards, no audited accounts, no clear separation between the leader’s household and the church’s treasury, the pitfall is dug and waiting. The teaching that financial prosperity is a guaranteed sign of divine favour can also provide theological cover for greed. Scripture certainly teaches that God blesses and provides, but it never teaches that a leader’s wealth proves his faithfulness. Jesus had “not where to lay his head” (Matt. 8:20).</w:t>
      </w:r>
    </w:p>
    <w:p>
      <w:pPr>
        <w:pStyle w:val="Body"/>
      </w:pPr>
      <w:r>
        <w:t xml:space="preserve">Richard Foster’s classic </w:t>
      </w:r>
      <w:r>
        <w:rPr>
          <w:i/>
          <w:iCs/>
        </w:rPr>
        <w:t xml:space="preserve">Money, Sex and Power</w:t>
      </w:r>
      <w:r>
        <w:t xml:space="preserve"> argues that these three forces are the perennial temptations of the disciplined life, and that each must be met not with denial alone but with a Christian vision of their proper use.</w:t>
      </w:r>
      <w:hyperlink w:anchor="note_4_1">
        <w:r>
          <w:rPr>
            <w:rFonts w:ascii="Times New Roman" w:cs="Times New Roman" w:eastAsia="Times New Roman" w:hAnsi="Times New Roman"/>
            <w:vertAlign w:val="superscript"/>
          </w:rPr>
          <w:t xml:space="preserve">1</w:t>
        </w:r>
      </w:hyperlink>
      <w:r>
        <w:t xml:space="preserve"> For money, that vision is stewardship, generosity and transparency. The leader who gives freely, lives simply and invites scrutiny will rarely fall into this pit.</w:t>
      </w:r>
    </w:p>
    <w:p>
      <w:pPr>
        <w:keepNext/>
        <w:pBdr>
          <w:top w:val="single" w:color="A67C1A" w:sz="6" w:space="8"/>
        </w:pBdr>
        <w:spacing w:after="120" w:before="360"/>
      </w:pPr>
      <w:r>
        <w:rPr>
          <w:b/>
          <w:bCs/>
          <w:smallCaps/>
          <w:color w:val="1F3864"/>
          <w:spacing w:val="20"/>
          <w:sz w:val="22"/>
          <w:szCs w:val="22"/>
        </w:rPr>
        <w:t xml:space="preserve">For Reflection and Discussion</w:t>
      </w:r>
    </w:p>
    <w:p>
      <w:pPr>
        <w:keepNext/>
        <w:keepLines/>
        <w:tabs>
          <w:tab w:val="left" w:pos="360"/>
        </w:tabs>
        <w:spacing w:after="80" w:line="276"/>
        <w:ind w:left="360" w:hanging="360"/>
      </w:pPr>
      <w:r>
        <w:rPr>
          <w:b/>
          <w:bCs/>
          <w:color w:val="A67C1A"/>
          <w:sz w:val="21"/>
          <w:szCs w:val="21"/>
        </w:rPr>
        <w:t xml:space="preserve">1.</w:t>
      </w:r>
      <w:r>
        <w:t xml:space="preserve">	</w:t>
      </w:r>
      <w:r>
        <w:rPr>
          <w:sz w:val="21"/>
          <w:szCs w:val="21"/>
        </w:rPr>
        <w:t xml:space="preserve">Why do you think the apostles mention money so often in the qualifications for leadership?</w:t>
      </w:r>
    </w:p>
    <w:p>
      <w:pPr>
        <w:keepNext/>
        <w:keepLines/>
        <w:tabs>
          <w:tab w:val="left" w:pos="360"/>
        </w:tabs>
        <w:spacing w:after="80" w:line="276"/>
        <w:ind w:left="360" w:hanging="360"/>
      </w:pPr>
      <w:r>
        <w:rPr>
          <w:b/>
          <w:bCs/>
          <w:color w:val="A67C1A"/>
          <w:sz w:val="21"/>
          <w:szCs w:val="21"/>
        </w:rPr>
        <w:t xml:space="preserve">2.</w:t>
      </w:r>
      <w:r>
        <w:t xml:space="preserve">	</w:t>
      </w:r>
      <w:r>
        <w:rPr>
          <w:sz w:val="21"/>
          <w:szCs w:val="21"/>
        </w:rPr>
        <w:t xml:space="preserve">Gehazi turned grace into gain. In what subtle ways can ministry be commercialised today?</w:t>
      </w:r>
    </w:p>
    <w:p>
      <w:pPr>
        <w:keepNext/>
        <w:keepLines/>
        <w:tabs>
          <w:tab w:val="left" w:pos="360"/>
        </w:tabs>
        <w:spacing w:after="80" w:line="276"/>
        <w:ind w:left="360" w:hanging="360"/>
      </w:pPr>
      <w:r>
        <w:rPr>
          <w:b/>
          <w:bCs/>
          <w:color w:val="A67C1A"/>
          <w:sz w:val="21"/>
          <w:szCs w:val="21"/>
        </w:rPr>
        <w:t xml:space="preserve">3.</w:t>
      </w:r>
      <w:r>
        <w:t xml:space="preserve">	</w:t>
      </w:r>
      <w:r>
        <w:rPr>
          <w:sz w:val="21"/>
          <w:szCs w:val="21"/>
        </w:rPr>
        <w:t xml:space="preserve">What financial controls exist in your church or ministry? Which ones are missing?</w:t>
      </w:r>
    </w:p>
    <w:p>
      <w:pPr>
        <w:keepNext w:val="false"/>
        <w:keepLines/>
        <w:tabs>
          <w:tab w:val="left" w:pos="360"/>
        </w:tabs>
        <w:spacing w:after="80" w:line="276"/>
        <w:ind w:left="360" w:hanging="360"/>
      </w:pPr>
      <w:r>
        <w:rPr>
          <w:b/>
          <w:bCs/>
          <w:color w:val="A67C1A"/>
          <w:sz w:val="21"/>
          <w:szCs w:val="21"/>
        </w:rPr>
        <w:t xml:space="preserve">4.</w:t>
      </w:r>
      <w:r>
        <w:t xml:space="preserve">	</w:t>
      </w:r>
      <w:r>
        <w:rPr>
          <w:sz w:val="21"/>
          <w:szCs w:val="21"/>
        </w:rPr>
        <w:t xml:space="preserve">How can a leader practise contentment while honestly addressing the real financial needs of his household?</w:t>
      </w:r>
    </w:p>
    <w:p>
      <w:pPr>
        <w:sectPr>
          <w:headerReference w:type="default" r:id="rId47"/>
          <w:headerReference w:type="first" r:id="rId48"/>
          <w:footerReference w:type="default" r:id="rId49"/>
          <w:footerReference w:type="first" r:id="rId50"/>
          <w:type w:val="nextPage"/>
          <w:pgSz w:w="8640" w:h="12960" w:orient="portrait"/>
          <w:pgMar w:top="1080" w:right="936" w:bottom="1008" w:left="1008" w:header="560" w:footer="520" w:gutter="0"/>
          <w:pgNumType w:fmt="decimal"/>
          <w:titlePg/>
          <w:docGrid w:linePitch="360"/>
        </w:sectPr>
      </w:pPr>
    </w:p>
    <w:p>
      <w:pPr>
        <w:spacing w:after="160" w:before="1300"/>
        <w:jc w:val="center"/>
      </w:pPr>
      <w:r>
        <w:rPr>
          <w:b/>
          <w:bCs/>
          <w:color w:val="A67C1A"/>
          <w:spacing w:val="60"/>
          <w:sz w:val="20"/>
          <w:szCs w:val="20"/>
        </w:rPr>
        <w:t xml:space="preserve">CHAPTER 5</w:t>
      </w:r>
    </w:p>
    <w:p>
      <w:pPr>
        <w:pStyle w:val="Heading1"/>
      </w:pPr>
      <w:bookmarkStart w:id="1079" w:name="toc_198"/>
      <w:r>
        <w:t xml:space="preserve">Sexual Immorality: The Pitfall of Unguarded Desire</w:t>
      </w:r>
      <w:bookmarkEnd w:id="1079"/>
    </w:p>
    <w:p>
      <w:pPr>
        <w:spacing w:after="60" w:before="60" w:line="276"/>
        <w:ind w:left="720" w:right="720"/>
        <w:jc w:val="center"/>
      </w:pPr>
      <w:r>
        <w:rPr>
          <w:i/>
          <w:iCs/>
          <w:color w:val="555555"/>
          <w:sz w:val="21"/>
          <w:szCs w:val="21"/>
        </w:rPr>
        <w:t xml:space="preserve">Can a man take fire in his bosom, and his clothes not be burned?</w:t>
      </w:r>
    </w:p>
    <w:p>
      <w:pPr>
        <w:spacing w:after="480"/>
        <w:jc w:val="center"/>
      </w:pPr>
      <w:r>
        <w:rPr>
          <w:color w:val="A67C1A"/>
          <w:sz w:val="19"/>
          <w:szCs w:val="19"/>
        </w:rPr>
        <w:t xml:space="preserve">— </w:t>
      </w:r>
      <w:r>
        <w:rPr>
          <w:smallCaps/>
          <w:color w:val="A67C1A"/>
          <w:sz w:val="19"/>
          <w:szCs w:val="19"/>
        </w:rPr>
        <w:t xml:space="preserve">Proverbs 6:27</w:t>
      </w:r>
    </w:p>
    <w:p>
      <w:pPr>
        <w:pStyle w:val="BodyFirst"/>
      </w:pPr>
      <w:r>
        <w:t xml:space="preserve">Sexual sin has ended more ministries than perhaps any other single cause. It is a pitfall that has claimed kings and prophets, apostles’ companions and modern evangelists alike. Scripture addresses it with remarkable frankness, and its narratives trace the anatomy of sexual failure with precision.</w:t>
      </w:r>
    </w:p>
    <w:p>
      <w:pPr>
        <w:pStyle w:val="Heading2"/>
      </w:pPr>
      <w:r>
        <w:t xml:space="preserve">David: The Idle Afternoon</w:t>
      </w:r>
    </w:p>
    <w:p>
      <w:pPr>
        <w:pStyle w:val="BodyFirst"/>
      </w:pPr>
      <w:r>
        <w:t xml:space="preserve">David’s sin with Bathsheba is the most detailed account of a leader’s sexual fall in the Bible. The narrative in 2 Samuel 11 repays careful study.</w:t>
      </w:r>
    </w:p>
    <w:p>
      <w:pPr>
        <w:pStyle w:val="Body"/>
      </w:pPr>
      <w:r>
        <w:t xml:space="preserve">The fall began with </w:t>
      </w:r>
      <w:r>
        <w:rPr>
          <w:b/>
          <w:bCs/>
        </w:rPr>
        <w:t xml:space="preserve">displacement</w:t>
      </w:r>
      <w:r>
        <w:t xml:space="preserve">. “It came to pass, after the year was expired, at the time when kings go forth to battle, that David sent Joab… But David tarried still at Jerusalem” (11:1). David was not where he should have been. The leader who has withdrawn from his proper work often finds that idleness creates space for temptation.</w:t>
      </w:r>
    </w:p>
    <w:p>
      <w:pPr>
        <w:pStyle w:val="Body"/>
      </w:pPr>
      <w:r>
        <w:t xml:space="preserve">It continued with </w:t>
      </w:r>
      <w:r>
        <w:rPr>
          <w:b/>
          <w:bCs/>
        </w:rPr>
        <w:t xml:space="preserve">indulgence of the eye</w:t>
      </w:r>
      <w:r>
        <w:t xml:space="preserve">. “David arose from off his bed, and walked upon the roof of the king’s house: and from the roof he saw a woman washing herself; and the woman was very beautiful to look upon” (11:2). Seeing was not the sin; continuing to look and then enquiring was the beginning of it. Job had made “a covenant with mine eyes” (Job 31:1). David made none that afternoon.</w:t>
      </w:r>
    </w:p>
    <w:p>
      <w:pPr>
        <w:pStyle w:val="Body"/>
      </w:pPr>
      <w:r>
        <w:t xml:space="preserve">It moved to </w:t>
      </w:r>
      <w:r>
        <w:rPr>
          <w:b/>
          <w:bCs/>
        </w:rPr>
        <w:t xml:space="preserve">the abuse of power</w:t>
      </w:r>
      <w:r>
        <w:t xml:space="preserve">. “David sent messengers, and took her” (11:4). The verbs of power dominate the chapter: David sent, David took. Bathsheba, the wife of one of David’s mighty men (2 Sam. 23:39), was in no position to refuse a king. Sexual sin by leaders almost always involves an abuse of the power imbalance between the leader and the other person.</w:t>
      </w:r>
    </w:p>
    <w:p>
      <w:pPr>
        <w:pStyle w:val="Body"/>
      </w:pPr>
      <w:r>
        <w:t xml:space="preserve">It escalated through </w:t>
      </w:r>
      <w:r>
        <w:rPr>
          <w:b/>
          <w:bCs/>
        </w:rPr>
        <w:t xml:space="preserve">concealment</w:t>
      </w:r>
      <w:r>
        <w:t xml:space="preserve">. When Bathsheba became pregnant, David attempted to cover the sin by bringing Uriah home, then by making him drunk, and finally by arranging his death in battle. One sin required another to hide it, until adultery had become murder.</w:t>
      </w:r>
    </w:p>
    <w:p>
      <w:pPr>
        <w:pStyle w:val="Body"/>
      </w:pPr>
      <w:r>
        <w:t xml:space="preserve">It ended in </w:t>
      </w:r>
      <w:r>
        <w:rPr>
          <w:b/>
          <w:bCs/>
        </w:rPr>
        <w:t xml:space="preserve">exposure and lasting consequence</w:t>
      </w:r>
      <w:r>
        <w:t xml:space="preserve">. Through Nathan’s parable David was confronted and repented. His psalm of confession, Psalm 51, remains the Church’s model of penitence. Yet the consequences unfolded in his own household: the death of the child, the rape of Tamar, the murder of Amnon, and the rebellion of Absalom. Forgiveness was real, but the sword did not depart from his house (2 Sam. 12:10).</w:t>
      </w:r>
    </w:p>
    <w:p>
      <w:pPr>
        <w:pStyle w:val="Heading2"/>
      </w:pPr>
      <w:r>
        <w:t xml:space="preserve">Samson: Strength Without Self-Control</w:t>
      </w:r>
    </w:p>
    <w:p>
      <w:pPr>
        <w:pStyle w:val="BodyFirst"/>
      </w:pPr>
      <w:r>
        <w:t xml:space="preserve">Samson was set apart as a Nazirite from birth and moved in the power of the Spirit, yet he lived in persistent moral compromise, from his marriage to a Philistine woman against his parents’ counsel to his visit to a harlot in Gaza and his fatal relationship with Delilah. The most chilling sentence in his story comes after Delilah had cut his hair: “He wist not that the LORD was departed from him” (Judg. 16:20). Samson assumed that because the power had always come before, it would always come again. Gifting had masked a deteriorating heart until the moment of collapse.</w:t>
      </w:r>
    </w:p>
    <w:p>
      <w:pPr>
        <w:pStyle w:val="Heading2"/>
      </w:pPr>
      <w:r>
        <w:t xml:space="preserve">Solomon: The Slow Seduction</w:t>
      </w:r>
    </w:p>
    <w:p>
      <w:pPr>
        <w:pStyle w:val="BodyFirst"/>
      </w:pPr>
      <w:r>
        <w:t xml:space="preserve">Solomon’s fall was not a single act but a gradual turning. “King Solomon loved many strange women… For it came to pass, when Solomon was old, that his wives turned away his heart after other gods” (1 Kgs. 11:1, 4). Solomon had been explicitly warned; the law of the king forbade multiplying wives “that his heart turn not away” (Deut. 17:17). His many marriages were largely political alliances, yet they carried spiritual consequences he apparently thought he could manage. The wisest man in Israel proved that wisdom is no substitute for obedience.</w:t>
      </w:r>
    </w:p>
    <w:p>
      <w:pPr>
        <w:pStyle w:val="Heading2"/>
      </w:pPr>
      <w:r>
        <w:t xml:space="preserve">Joseph: The Leader Who Fled</w:t>
      </w:r>
    </w:p>
    <w:p>
      <w:pPr>
        <w:pStyle w:val="BodyFirst"/>
      </w:pPr>
      <w:r>
        <w:t xml:space="preserve">Scripture also provides a positive model. Joseph, entrusted with the whole of Potiphar’s household, was pressured daily by his master’s wife. His answer reveals the theological foundation of sexual integrity: “How then can I do this great wickedness, and sin against God?” (Gen. 39:9). He understood that sexual sin is first of all sin against God, and he also recognised that it would betray the trust of his master. When she seized his garment, “he left his garment in her hand, and fled” (39:12). Joseph did not negotiate with temptation; he ran from it. Paul later gave the same counsel: “Flee fornication” (1 Cor. 6:18) and “Flee also youthful lusts” (2 Tim. 2:22).</w:t>
      </w:r>
    </w:p>
    <w:p>
      <w:pPr>
        <w:pStyle w:val="Heading2"/>
      </w:pPr>
      <w:r>
        <w:t xml:space="preserve">The Qualification of Faithfulness</w:t>
      </w:r>
    </w:p>
    <w:p>
      <w:pPr>
        <w:pStyle w:val="BodyFirst"/>
      </w:pPr>
      <w:r>
        <w:t xml:space="preserve">The New Testament places marital faithfulness at the heart of leadership qualification. An overseer must be “the husband of one wife” (1 Tim. 3:2; Titus 1:6), a phrase which, whatever its precise application, requires at minimum that the leader be faithful and exemplary in his marriage. Paul exhorts Timothy to treat “the elder women as mothers; the younger as sisters, with all purity” (1 Tim. 5:2). The phrase “with all purity” sets the standard for every pastoral relationship.</w:t>
      </w:r>
    </w:p>
    <w:p>
      <w:pPr>
        <w:pStyle w:val="Heading2"/>
      </w:pPr>
      <w:r>
        <w:t xml:space="preserve">Contemporary Implications</w:t>
      </w:r>
    </w:p>
    <w:p>
      <w:pPr>
        <w:pStyle w:val="BodyFirst"/>
      </w:pPr>
      <w:r>
        <w:t xml:space="preserve">Sexual failure in ministry today follows the same patterns seen in David’s story. It usually arises where there is emotional isolation in the leader’s marriage, unaccountable access to vulnerable people, an unhealthy use of pornography, the power imbalance of counselling relationships, and a culture that protects the leader’s reputation rather than the victim’s safety. The evangelist Billy Graham and his team, early in their ministry, resolved never to be alone with a woman other than their wives, a practice that became widely known as part of the “Modesto Manifesto” of 1948.</w:t>
      </w:r>
      <w:hyperlink w:anchor="note_5_1">
        <w:r>
          <w:rPr>
            <w:rFonts w:ascii="Times New Roman" w:cs="Times New Roman" w:eastAsia="Times New Roman" w:hAnsi="Times New Roman"/>
            <w:vertAlign w:val="superscript"/>
          </w:rPr>
          <w:t xml:space="preserve">1</w:t>
        </w:r>
      </w:hyperlink>
      <w:r>
        <w:t xml:space="preserve"> Practices of this kind may be adapted to different contexts, but the principle behind them is timeless: the wise leader builds fences before temptation arrives, not after.</w:t>
      </w:r>
    </w:p>
    <w:p>
      <w:pPr>
        <w:pStyle w:val="Body"/>
      </w:pPr>
      <w:r>
        <w:t xml:space="preserve">Where sexual sin has occurred, the Church must hold together grace and justice. Restoration of the sinner to fellowship is possible through repentance, but restoration to public leadership is a separate question, and the protection of victims must never be sacrificed to the preservation of a leader’s platform.</w:t>
      </w:r>
    </w:p>
    <w:p>
      <w:pPr>
        <w:keepNext/>
        <w:pBdr>
          <w:top w:val="single" w:color="A67C1A" w:sz="6" w:space="8"/>
        </w:pBdr>
        <w:spacing w:after="120" w:before="360"/>
      </w:pPr>
      <w:r>
        <w:rPr>
          <w:b/>
          <w:bCs/>
          <w:smallCaps/>
          <w:color w:val="1F3864"/>
          <w:spacing w:val="20"/>
          <w:sz w:val="22"/>
          <w:szCs w:val="22"/>
        </w:rPr>
        <w:t xml:space="preserve">For Reflection and Discussion</w:t>
      </w:r>
    </w:p>
    <w:p>
      <w:pPr>
        <w:keepNext/>
        <w:keepLines/>
        <w:tabs>
          <w:tab w:val="left" w:pos="360"/>
        </w:tabs>
        <w:spacing w:after="80" w:line="276"/>
        <w:ind w:left="360" w:hanging="360"/>
      </w:pPr>
      <w:r>
        <w:rPr>
          <w:b/>
          <w:bCs/>
          <w:color w:val="A67C1A"/>
          <w:sz w:val="21"/>
          <w:szCs w:val="21"/>
        </w:rPr>
        <w:t xml:space="preserve">1.</w:t>
      </w:r>
      <w:r>
        <w:t xml:space="preserve">	</w:t>
      </w:r>
      <w:r>
        <w:rPr>
          <w:sz w:val="21"/>
          <w:szCs w:val="21"/>
        </w:rPr>
        <w:t xml:space="preserve">Trace the steps in David’s fall in 2 Samuel 11. At which point could he most easily have stopped?</w:t>
      </w:r>
    </w:p>
    <w:p>
      <w:pPr>
        <w:keepNext/>
        <w:keepLines/>
        <w:tabs>
          <w:tab w:val="left" w:pos="360"/>
        </w:tabs>
        <w:spacing w:after="80" w:line="276"/>
        <w:ind w:left="360" w:hanging="360"/>
      </w:pPr>
      <w:r>
        <w:rPr>
          <w:b/>
          <w:bCs/>
          <w:color w:val="A67C1A"/>
          <w:sz w:val="21"/>
          <w:szCs w:val="21"/>
        </w:rPr>
        <w:t xml:space="preserve">2.</w:t>
      </w:r>
      <w:r>
        <w:t xml:space="preserve">	</w:t>
      </w:r>
      <w:r>
        <w:rPr>
          <w:sz w:val="21"/>
          <w:szCs w:val="21"/>
        </w:rPr>
        <w:t xml:space="preserve">What role does power imbalance play in sexual misconduct by leaders?</w:t>
      </w:r>
    </w:p>
    <w:p>
      <w:pPr>
        <w:keepNext/>
        <w:keepLines/>
        <w:tabs>
          <w:tab w:val="left" w:pos="360"/>
        </w:tabs>
        <w:spacing w:after="80" w:line="276"/>
        <w:ind w:left="360" w:hanging="360"/>
      </w:pPr>
      <w:r>
        <w:rPr>
          <w:b/>
          <w:bCs/>
          <w:color w:val="A67C1A"/>
          <w:sz w:val="21"/>
          <w:szCs w:val="21"/>
        </w:rPr>
        <w:t xml:space="preserve">3.</w:t>
      </w:r>
      <w:r>
        <w:t xml:space="preserve">	</w:t>
      </w:r>
      <w:r>
        <w:rPr>
          <w:sz w:val="21"/>
          <w:szCs w:val="21"/>
        </w:rPr>
        <w:t xml:space="preserve">What boundaries would be wise for ministers in your context, in counselling, travel and digital communication?</w:t>
      </w:r>
    </w:p>
    <w:p>
      <w:pPr>
        <w:keepNext w:val="false"/>
        <w:keepLines/>
        <w:tabs>
          <w:tab w:val="left" w:pos="360"/>
        </w:tabs>
        <w:spacing w:after="80" w:line="276"/>
        <w:ind w:left="360" w:hanging="360"/>
      </w:pPr>
      <w:r>
        <w:rPr>
          <w:b/>
          <w:bCs/>
          <w:color w:val="A67C1A"/>
          <w:sz w:val="21"/>
          <w:szCs w:val="21"/>
        </w:rPr>
        <w:t xml:space="preserve">4.</w:t>
      </w:r>
      <w:r>
        <w:t xml:space="preserve">	</w:t>
      </w:r>
      <w:r>
        <w:rPr>
          <w:sz w:val="21"/>
          <w:szCs w:val="21"/>
        </w:rPr>
        <w:t xml:space="preserve">How should a church balance grace for a fallen leader with justice and care for those who have been harmed?</w:t>
      </w:r>
    </w:p>
    <w:p>
      <w:pPr>
        <w:sectPr>
          <w:headerReference w:type="default" r:id="rId51"/>
          <w:headerReference w:type="first" r:id="rId52"/>
          <w:footerReference w:type="default" r:id="rId53"/>
          <w:footerReference w:type="first" r:id="rId54"/>
          <w:type w:val="nextPage"/>
          <w:pgSz w:w="8640" w:h="12960" w:orient="portrait"/>
          <w:pgMar w:top="1080" w:right="936" w:bottom="1008" w:left="1008" w:header="560" w:footer="520" w:gutter="0"/>
          <w:pgNumType w:fmt="decimal"/>
          <w:titlePg/>
          <w:docGrid w:linePitch="360"/>
        </w:sectPr>
      </w:pPr>
    </w:p>
    <w:p>
      <w:pPr>
        <w:spacing w:after="160" w:before="1300"/>
        <w:jc w:val="center"/>
      </w:pPr>
      <w:r>
        <w:rPr>
          <w:b/>
          <w:bCs/>
          <w:color w:val="A67C1A"/>
          <w:spacing w:val="60"/>
          <w:sz w:val="20"/>
          <w:szCs w:val="20"/>
        </w:rPr>
        <w:t xml:space="preserve">CHAPTER 6</w:t>
      </w:r>
    </w:p>
    <w:p>
      <w:pPr>
        <w:pStyle w:val="Heading1"/>
      </w:pPr>
      <w:bookmarkStart w:id="1080" w:name="toc_227"/>
      <w:r>
        <w:t xml:space="preserve">Abuse of Power: Lording It Over God’s Heritage</w:t>
      </w:r>
      <w:bookmarkEnd w:id="1080"/>
    </w:p>
    <w:p>
      <w:pPr>
        <w:spacing w:after="60" w:before="60" w:line="276"/>
        <w:ind w:left="720" w:right="720"/>
        <w:jc w:val="center"/>
      </w:pPr>
      <w:r>
        <w:rPr>
          <w:i/>
          <w:iCs/>
          <w:color w:val="555555"/>
          <w:sz w:val="21"/>
          <w:szCs w:val="21"/>
        </w:rPr>
        <w:t xml:space="preserve">Neither as being lords over God’s heritage, but being ensamples to the flock.</w:t>
      </w:r>
    </w:p>
    <w:p>
      <w:pPr>
        <w:spacing w:after="480"/>
        <w:jc w:val="center"/>
      </w:pPr>
      <w:r>
        <w:rPr>
          <w:color w:val="A67C1A"/>
          <w:sz w:val="19"/>
          <w:szCs w:val="19"/>
        </w:rPr>
        <w:t xml:space="preserve">— </w:t>
      </w:r>
      <w:r>
        <w:rPr>
          <w:smallCaps/>
          <w:color w:val="A67C1A"/>
          <w:sz w:val="19"/>
          <w:szCs w:val="19"/>
        </w:rPr>
        <w:t xml:space="preserve">1 Peter 5:3</w:t>
      </w:r>
    </w:p>
    <w:p>
      <w:pPr>
        <w:pStyle w:val="BodyFirst"/>
      </w:pPr>
      <w:r>
        <w:t xml:space="preserve">Power in the hands of a servant is a blessing; power in the hands of a self-serving leader is a curse. Scripture has much to say about leaders who used their authority to dominate, exploit and silence others. This pitfall is particularly dangerous because it can coexist with orthodox doctrine, effective preaching and outward success. The abusive leader often appears strong, decisive and visionary, until the cost to people becomes impossible to hide.</w:t>
      </w:r>
    </w:p>
    <w:p>
      <w:pPr>
        <w:pStyle w:val="Heading2"/>
      </w:pPr>
      <w:r>
        <w:t xml:space="preserve">Rehoboam: Choosing the Heavier Yoke</w:t>
      </w:r>
    </w:p>
    <w:p>
      <w:pPr>
        <w:pStyle w:val="BodyFirst"/>
      </w:pPr>
      <w:r>
        <w:t xml:space="preserve">When Solomon died, the people of Israel came to his son Rehoboam asking for relief from the heavy burdens of forced labour and taxation. The elders who had served Solomon advised him wisely: “If thou wilt be a servant unto this people this day, and wilt serve them… then they will be thy servants for ever” (1 Kgs. 12:7). The young men who had grown up with him gave the opposite counsel: “My little finger shall be thicker than my father’s loins… my father hath chastised you with whips, but I will chastise you with scorpions” (12:10–11). Rehoboam chose the harsh path, and ten tribes broke away. The kingdom was divided permanently.</w:t>
      </w:r>
    </w:p>
    <w:p>
      <w:pPr>
        <w:pStyle w:val="Body"/>
      </w:pPr>
      <w:r>
        <w:t xml:space="preserve">Rehoboam’s error teaches several lessons. He ignored experienced counsel in favour of those who told him what he wanted to hear. He confused harshness with strength. And he failed to grasp the principle the elders articulated so memorably: leaders who serve are followed willingly and permanently.</w:t>
      </w:r>
    </w:p>
    <w:p>
      <w:pPr>
        <w:pStyle w:val="Heading2"/>
      </w:pPr>
      <w:r>
        <w:t xml:space="preserve">Ahab, Jezebel and Naboth’s Vineyard</w:t>
      </w:r>
    </w:p>
    <w:p>
      <w:pPr>
        <w:pStyle w:val="BodyFirst"/>
      </w:pPr>
      <w:r>
        <w:t xml:space="preserve">Ahab coveted the vineyard of Naboth, which lay beside his palace. Naboth refused to sell his ancestral inheritance, as the law permitted him to do. Ahab sulked, but Jezebel acted: “Dost thou now govern the kingdom of Israel?” (1 Kgs. 21:7). She arranged false witnesses, a rigged trial and Naboth’s execution, all dressed in the language of a religious fast. The story is a portrait of power that treats the rights of ordinary people as obstacles to be removed. It is also a warning about leaders who allow those close to them to exercise power ruthlessly on their behalf.</w:t>
      </w:r>
    </w:p>
    <w:p>
      <w:pPr>
        <w:pStyle w:val="Heading2"/>
      </w:pPr>
      <w:r>
        <w:t xml:space="preserve">The Shepherds of Ezekiel 34</w:t>
      </w:r>
    </w:p>
    <w:p>
      <w:pPr>
        <w:pStyle w:val="BodyFirst"/>
      </w:pPr>
      <w:r>
        <w:t xml:space="preserve">Ezekiel 34 is the Old Testament’s most sustained indictment of abusive leadership. God speaks against the shepherds of Israel who feed themselves rather than the flock: “Ye eat the fat, and ye clothe you with the wool, ye kill them that are fed: but ye feed not the flock. The diseased have ye not strengthened, neither have ye healed that which was sick… but with force and with cruelty have ye ruled them” (Ezek. 34:3–4). The charge is twofold: the shepherds exploited the flock for their own benefit, and they ruled with force and cruelty. God’s response is to promise that he himself will shepherd his people and set over them one shepherd, his servant David, a promise fulfilled in Christ, the Good Shepherd who lays down his life for the sheep (John 10:11).</w:t>
      </w:r>
    </w:p>
    <w:p>
      <w:pPr>
        <w:pStyle w:val="Heading2"/>
      </w:pPr>
      <w:r>
        <w:t xml:space="preserve">Diotrephes: Loving the Pre-eminence</w:t>
      </w:r>
    </w:p>
    <w:p>
      <w:pPr>
        <w:pStyle w:val="BodyFirst"/>
      </w:pPr>
      <w:r>
        <w:t xml:space="preserve">The New Testament gives us a brief but vivid portrait of an abusive church leader. John writes: “I wrote unto the church: but Diotrephes, who loveth to have the preeminence among them, receiveth us not” (3 John 9). Diotrephes spread malicious words against the apostle, refused to receive travelling brethren, and forbade others from receiving them, casting them “out of the church” (3 John 10). The root was his love of pre-eminence; the fruit was control, slander, exclusion and the silencing of dissent. Diotrephes is recognisable in every generation.</w:t>
      </w:r>
    </w:p>
    <w:p>
      <w:pPr>
        <w:pStyle w:val="Heading2"/>
      </w:pPr>
      <w:r>
        <w:t xml:space="preserve">The Servant-Leader Pattern</w:t>
      </w:r>
    </w:p>
    <w:p>
      <w:pPr>
        <w:pStyle w:val="BodyFirst"/>
      </w:pPr>
      <w:r>
        <w:t xml:space="preserve">Against these negative examples stands the example of Christ and the apostles. Paul, though he possessed genuine apostolic authority, wrote to the Corinthians, “Not for that we have dominion over your faith, but are helpers of your joy” (2 Cor. 1:24). He described his ministry among the Thessalonians as gentle, “even as a nurse cherisheth her children” (1 Thess. 2:7). Authority in the Church is real, but it is always derived from Christ, exercised for the good of others and accountable to the word of God.</w:t>
      </w:r>
    </w:p>
    <w:p>
      <w:pPr>
        <w:pStyle w:val="Heading2"/>
      </w:pPr>
      <w:r>
        <w:t xml:space="preserve">Contemporary Implications</w:t>
      </w:r>
    </w:p>
    <w:p>
      <w:pPr>
        <w:pStyle w:val="BodyFirst"/>
      </w:pPr>
      <w:r>
        <w:t xml:space="preserve">Spiritual abuse occurs when a leader uses spiritual authority to control, manipulate or harm those under his care. Its common marks include demanding unquestioning loyalty, equating disagreement with rebellion against God, public shaming, the misuse of Scriptures such as “touch not mine anointed” (Ps. 105:15) to shield leaders from accountability, and the isolation of those who raise concerns. The psychologist Diane Langberg, who has counselled survivors of abuse for decades, argues that the Church must learn to recognise how power can be used to deceive and damage, and that genuine Christlike power always serves the vulnerable.</w:t>
      </w:r>
      <w:hyperlink w:anchor="note_6_1">
        <w:r>
          <w:rPr>
            <w:rFonts w:ascii="Times New Roman" w:cs="Times New Roman" w:eastAsia="Times New Roman" w:hAnsi="Times New Roman"/>
            <w:vertAlign w:val="superscript"/>
          </w:rPr>
          <w:t xml:space="preserve">1</w:t>
        </w:r>
      </w:hyperlink>
    </w:p>
    <w:p>
      <w:pPr>
        <w:pStyle w:val="Body"/>
      </w:pPr>
      <w:r>
        <w:t xml:space="preserve">It is worth noting that Psalm 105:15 refers to God’s protection of the patriarchs from foreign kings; it was never intended to exempt leaders from correction by God’s people. David, who famously refused to touch Saul, God’s anointed, was himself rebuked by Nathan, a prophet who did not hesitate to say to the king, “Thou art the man” (2 Sam. 12:7). No leader is above the word of God.</w:t>
      </w:r>
    </w:p>
    <w:p>
      <w:pPr>
        <w:keepNext/>
        <w:pBdr>
          <w:top w:val="single" w:color="A67C1A" w:sz="6" w:space="8"/>
        </w:pBdr>
        <w:spacing w:after="120" w:before="360"/>
      </w:pPr>
      <w:r>
        <w:rPr>
          <w:b/>
          <w:bCs/>
          <w:smallCaps/>
          <w:color w:val="1F3864"/>
          <w:spacing w:val="20"/>
          <w:sz w:val="22"/>
          <w:szCs w:val="22"/>
        </w:rPr>
        <w:t xml:space="preserve">For Reflection and Discussion</w:t>
      </w:r>
    </w:p>
    <w:p>
      <w:pPr>
        <w:keepNext/>
        <w:keepLines/>
        <w:tabs>
          <w:tab w:val="left" w:pos="360"/>
        </w:tabs>
        <w:spacing w:after="80" w:line="276"/>
        <w:ind w:left="360" w:hanging="360"/>
      </w:pPr>
      <w:r>
        <w:rPr>
          <w:b/>
          <w:bCs/>
          <w:color w:val="A67C1A"/>
          <w:sz w:val="21"/>
          <w:szCs w:val="21"/>
        </w:rPr>
        <w:t xml:space="preserve">1.</w:t>
      </w:r>
      <w:r>
        <w:t xml:space="preserve">	</w:t>
      </w:r>
      <w:r>
        <w:rPr>
          <w:sz w:val="21"/>
          <w:szCs w:val="21"/>
        </w:rPr>
        <w:t xml:space="preserve">Compare the counsel of the elders and the young men in 1 Kings 12. Why is harshness so often mistaken for strength?</w:t>
      </w:r>
    </w:p>
    <w:p>
      <w:pPr>
        <w:keepNext/>
        <w:keepLines/>
        <w:tabs>
          <w:tab w:val="left" w:pos="360"/>
        </w:tabs>
        <w:spacing w:after="80" w:line="276"/>
        <w:ind w:left="360" w:hanging="360"/>
      </w:pPr>
      <w:r>
        <w:rPr>
          <w:b/>
          <w:bCs/>
          <w:color w:val="A67C1A"/>
          <w:sz w:val="21"/>
          <w:szCs w:val="21"/>
        </w:rPr>
        <w:t xml:space="preserve">2.</w:t>
      </w:r>
      <w:r>
        <w:t xml:space="preserve">	</w:t>
      </w:r>
      <w:r>
        <w:rPr>
          <w:sz w:val="21"/>
          <w:szCs w:val="21"/>
        </w:rPr>
        <w:t xml:space="preserve">What does Ezekiel 34 reveal about God’s view of leaders who exploit the flock?</w:t>
      </w:r>
    </w:p>
    <w:p>
      <w:pPr>
        <w:keepNext/>
        <w:keepLines/>
        <w:tabs>
          <w:tab w:val="left" w:pos="360"/>
        </w:tabs>
        <w:spacing w:after="80" w:line="276"/>
        <w:ind w:left="360" w:hanging="360"/>
      </w:pPr>
      <w:r>
        <w:rPr>
          <w:b/>
          <w:bCs/>
          <w:color w:val="A67C1A"/>
          <w:sz w:val="21"/>
          <w:szCs w:val="21"/>
        </w:rPr>
        <w:t xml:space="preserve">3.</w:t>
      </w:r>
      <w:r>
        <w:t xml:space="preserve">	</w:t>
      </w:r>
      <w:r>
        <w:rPr>
          <w:sz w:val="21"/>
          <w:szCs w:val="21"/>
        </w:rPr>
        <w:t xml:space="preserve">How has Psalm 105:15 been used in your context? Is that use faithful to the text?</w:t>
      </w:r>
    </w:p>
    <w:p>
      <w:pPr>
        <w:keepNext w:val="false"/>
        <w:keepLines/>
        <w:tabs>
          <w:tab w:val="left" w:pos="360"/>
        </w:tabs>
        <w:spacing w:after="80" w:line="276"/>
        <w:ind w:left="360" w:hanging="360"/>
      </w:pPr>
      <w:r>
        <w:rPr>
          <w:b/>
          <w:bCs/>
          <w:color w:val="A67C1A"/>
          <w:sz w:val="21"/>
          <w:szCs w:val="21"/>
        </w:rPr>
        <w:t xml:space="preserve">4.</w:t>
      </w:r>
      <w:r>
        <w:t xml:space="preserve">	</w:t>
      </w:r>
      <w:r>
        <w:rPr>
          <w:sz w:val="21"/>
          <w:szCs w:val="21"/>
        </w:rPr>
        <w:t xml:space="preserve">What would a healthy process for raising concerns about a leader look like in your church?</w:t>
      </w:r>
    </w:p>
    <w:p>
      <w:pPr>
        <w:sectPr>
          <w:headerReference w:type="default" r:id="rId55"/>
          <w:headerReference w:type="first" r:id="rId56"/>
          <w:footerReference w:type="default" r:id="rId57"/>
          <w:footerReference w:type="first" r:id="rId58"/>
          <w:type w:val="nextPage"/>
          <w:pgSz w:w="8640" w:h="12960" w:orient="portrait"/>
          <w:pgMar w:top="1080" w:right="936" w:bottom="1008" w:left="1008" w:header="560" w:footer="520" w:gutter="0"/>
          <w:pgNumType w:fmt="decimal"/>
          <w:titlePg/>
          <w:docGrid w:linePitch="360"/>
        </w:sectPr>
      </w:pPr>
    </w:p>
    <w:p>
      <w:pPr>
        <w:spacing w:after="160" w:before="1300"/>
        <w:jc w:val="center"/>
      </w:pPr>
      <w:r>
        <w:rPr>
          <w:b/>
          <w:bCs/>
          <w:color w:val="A67C1A"/>
          <w:spacing w:val="60"/>
          <w:sz w:val="20"/>
          <w:szCs w:val="20"/>
        </w:rPr>
        <w:t xml:space="preserve">CHAPTER 7</w:t>
      </w:r>
    </w:p>
    <w:p>
      <w:pPr>
        <w:pStyle w:val="Heading1"/>
      </w:pPr>
      <w:bookmarkStart w:id="1081" w:name="toc_252"/>
      <w:r>
        <w:t xml:space="preserve">Jealousy and Insecurity: When Another’s Success Becomes a Threat</w:t>
      </w:r>
      <w:bookmarkEnd w:id="1081"/>
    </w:p>
    <w:p>
      <w:pPr>
        <w:spacing w:after="60" w:before="60" w:line="276"/>
        <w:ind w:left="720" w:right="720"/>
        <w:jc w:val="center"/>
      </w:pPr>
      <w:r>
        <w:rPr>
          <w:i/>
          <w:iCs/>
          <w:color w:val="555555"/>
          <w:sz w:val="21"/>
          <w:szCs w:val="21"/>
        </w:rPr>
        <w:t xml:space="preserve">Saul eyed David from that day and forward.</w:t>
      </w:r>
    </w:p>
    <w:p>
      <w:pPr>
        <w:spacing w:after="480"/>
        <w:jc w:val="center"/>
      </w:pPr>
      <w:r>
        <w:rPr>
          <w:color w:val="A67C1A"/>
          <w:sz w:val="19"/>
          <w:szCs w:val="19"/>
        </w:rPr>
        <w:t xml:space="preserve">— </w:t>
      </w:r>
      <w:r>
        <w:rPr>
          <w:smallCaps/>
          <w:color w:val="A67C1A"/>
          <w:sz w:val="19"/>
          <w:szCs w:val="19"/>
        </w:rPr>
        <w:t xml:space="preserve">1 Samuel 18:9</w:t>
      </w:r>
    </w:p>
    <w:p>
      <w:pPr>
        <w:pStyle w:val="BodyFirst"/>
      </w:pPr>
      <w:r>
        <w:t xml:space="preserve">Jealousy is the pitfall of insecure leaders. It turns colleagues into competitors, successors into threats and the gifts of others into occasions of resentment. Paradoxically, it often afflicts leaders who have achieved much, because the more a leader’s identity rests on his position, the more he fears losing it.</w:t>
      </w:r>
    </w:p>
    <w:p>
      <w:pPr>
        <w:pStyle w:val="Heading2"/>
      </w:pPr>
      <w:r>
        <w:t xml:space="preserve">Saul and David</w:t>
      </w:r>
    </w:p>
    <w:p>
      <w:pPr>
        <w:pStyle w:val="BodyFirst"/>
      </w:pPr>
      <w:r>
        <w:t xml:space="preserve">The women of Israel came out singing after David’s victory over Goliath: “Saul hath slain his thousands, and David his ten thousands” (1 Sam. 18:7). Saul heard the song and “was very wroth, and the saying displeased him… And Saul eyed David from that day and forward” (18:8–9). From that moment Saul’s reign was consumed by an obsession with David. He threw spears at him, sent him into battle hoping he would die, pursued him across the wilderness, and even massacred the priests of Nob for helping him.</w:t>
      </w:r>
    </w:p>
    <w:p>
      <w:pPr>
        <w:pStyle w:val="Body"/>
      </w:pPr>
      <w:r>
        <w:t xml:space="preserve">Saul’s jealousy teaches three lessons. First, it began with a comparison: the song ranked the two men, and Saul could not bear to be ranked second. Second, it distorted his perception, so that the most loyal servant in his kingdom appeared to him as his greatest enemy. Third, it consumed energy that should have been spent leading the nation. Saul spent years chasing David while the Philistines remained undefeated.</w:t>
      </w:r>
    </w:p>
    <w:p>
      <w:pPr>
        <w:pStyle w:val="Heading2"/>
      </w:pPr>
      <w:r>
        <w:t xml:space="preserve">Moses and the Spirit of Generosity</w:t>
      </w:r>
    </w:p>
    <w:p>
      <w:pPr>
        <w:pStyle w:val="BodyFirst"/>
      </w:pPr>
      <w:r>
        <w:t xml:space="preserve">Numbers 11 offers a striking contrast. When the Spirit came upon seventy elders, two men, Eldad and Medad, prophesied in the camp rather than at the tabernacle. Joshua, zealous for his master’s honour, urged, “My lord Moses, forbid them.” Moses replied, “Enviest thou for my sake? would God that all the LORD’s people were prophets, and that the LORD would put his spirit upon them!” (Num. 11:28–29). Moses was secure enough in his calling to rejoice when others were used by God. That security is one of the surest defences against jealousy.</w:t>
      </w:r>
    </w:p>
    <w:p>
      <w:pPr>
        <w:pStyle w:val="Body"/>
      </w:pPr>
      <w:r>
        <w:t xml:space="preserve">In the very next chapter, Miriam and Aaron spoke against Moses, asking, “Hath the LORD indeed spoken only by Moses? hath he not spoken also by us?” (Num. 12:2). Their complaint, masked as concern about Moses’s marriage, was really rivalry. The text adds that “the man Moses was very meek, above all the men which were upon the face of the earth” (12:3). He did not defend himself; God defended him.</w:t>
      </w:r>
    </w:p>
    <w:p>
      <w:pPr>
        <w:pStyle w:val="Heading2"/>
      </w:pPr>
      <w:r>
        <w:t xml:space="preserve">John the Baptist: He Must Increase</w:t>
      </w:r>
    </w:p>
    <w:p>
      <w:pPr>
        <w:pStyle w:val="BodyFirst"/>
      </w:pPr>
      <w:r>
        <w:t xml:space="preserve">When John’s disciples came to him troubled that Jesus was baptising and “all men come to him,” John replied, “A man can receive nothing, except it be given him from heaven… He must increase, but I must decrease” (John 3:26–30). John described himself as the friend of the bridegroom who rejoices to hear the bridegroom’s voice. Here is the antidote to jealousy: the recognition that every gift and every audience is given from heaven, and that the leader’s joy is found in the success of Christ rather than in personal prominence.</w:t>
      </w:r>
    </w:p>
    <w:p>
      <w:pPr>
        <w:pStyle w:val="Heading2"/>
      </w:pPr>
      <w:r>
        <w:t xml:space="preserve">Paul and Rival Preachers</w:t>
      </w:r>
    </w:p>
    <w:p>
      <w:pPr>
        <w:pStyle w:val="BodyFirst"/>
      </w:pPr>
      <w:r>
        <w:t xml:space="preserve">Paul faced rival preachers who preached Christ “of envy and strife,” hoping to add affliction to his imprisonment. His response is remarkable: “What then? notwithstanding, every way, whether in pretence, or in truth, Christ is preached; and I therein do rejoice, yea, and will rejoice” (Phil. 1:15–18). Paul was not naïve about their motives, but he refused to let their rivalry dictate his emotional state. The progress of the gospel mattered more to him than his reputation.</w:t>
      </w:r>
    </w:p>
    <w:p>
      <w:pPr>
        <w:pStyle w:val="Heading2"/>
      </w:pPr>
      <w:r>
        <w:t xml:space="preserve">Clement of Rome on Jealousy</w:t>
      </w:r>
    </w:p>
    <w:p>
      <w:pPr>
        <w:pStyle w:val="BodyFirst"/>
      </w:pPr>
      <w:r>
        <w:t xml:space="preserve">Around the end of the first century, the church at Rome wrote to the church at Corinth, where younger members had deposed their established presbyters. The letter, traditionally attributed to Clement, devotes several chapters to the destructive power of jealousy, tracing it through Scripture from Cain and Abel, through Jacob and Esau, Joseph and his brothers, Moses, Aaron and Miriam, and Saul’s persecution of David, to the martyrdoms of Peter and Paul.</w:t>
      </w:r>
      <w:hyperlink w:anchor="note_7_1">
        <w:r>
          <w:rPr>
            <w:rFonts w:ascii="Times New Roman" w:cs="Times New Roman" w:eastAsia="Times New Roman" w:hAnsi="Times New Roman"/>
            <w:vertAlign w:val="superscript"/>
          </w:rPr>
          <w:t xml:space="preserve">1</w:t>
        </w:r>
      </w:hyperlink>
      <w:r>
        <w:t xml:space="preserve"> The early Church recognised jealousy as a force capable of tearing congregations apart.</w:t>
      </w:r>
    </w:p>
    <w:p>
      <w:pPr>
        <w:pStyle w:val="Heading2"/>
      </w:pPr>
      <w:r>
        <w:t xml:space="preserve">Contemporary Implications</w:t>
      </w:r>
    </w:p>
    <w:p>
      <w:pPr>
        <w:pStyle w:val="BodyFirst"/>
      </w:pPr>
      <w:r>
        <w:t xml:space="preserve">Jealousy in modern ministry takes many forms: the senior pastor who cannot allow an associate to preach well, the founder who marginalises gifted younger leaders, the minister who secretly rejoices when a neighbouring church struggles, the leader who withholds opportunities from those who might outshine him. It is visible in succession crises, where a leader refuses to prepare a successor because doing so would acknowledge his own mortality and limits.</w:t>
      </w:r>
    </w:p>
    <w:p>
      <w:pPr>
        <w:pStyle w:val="Body"/>
      </w:pPr>
      <w:r>
        <w:t xml:space="preserve">The cure lies in a settled identity. A leader who knows that he is loved by God, called by God and accountable to God does not need to be the most gifted person in the room. He can say with Moses, “Would God that all the LORD’s people were prophets,” and with John, “He must increase, but I must decrease.”</w:t>
      </w:r>
    </w:p>
    <w:p>
      <w:pPr>
        <w:keepNext/>
        <w:pBdr>
          <w:top w:val="single" w:color="A67C1A" w:sz="6" w:space="8"/>
        </w:pBdr>
        <w:spacing w:after="120" w:before="360"/>
      </w:pPr>
      <w:r>
        <w:rPr>
          <w:b/>
          <w:bCs/>
          <w:smallCaps/>
          <w:color w:val="1F3864"/>
          <w:spacing w:val="20"/>
          <w:sz w:val="22"/>
          <w:szCs w:val="22"/>
        </w:rPr>
        <w:t xml:space="preserve">For Reflection and Discussion</w:t>
      </w:r>
    </w:p>
    <w:p>
      <w:pPr>
        <w:keepNext/>
        <w:keepLines/>
        <w:tabs>
          <w:tab w:val="left" w:pos="360"/>
        </w:tabs>
        <w:spacing w:after="80" w:line="276"/>
        <w:ind w:left="360" w:hanging="360"/>
      </w:pPr>
      <w:r>
        <w:rPr>
          <w:b/>
          <w:bCs/>
          <w:color w:val="A67C1A"/>
          <w:sz w:val="21"/>
          <w:szCs w:val="21"/>
        </w:rPr>
        <w:t xml:space="preserve">1.</w:t>
      </w:r>
      <w:r>
        <w:t xml:space="preserve">	</w:t>
      </w:r>
      <w:r>
        <w:rPr>
          <w:sz w:val="21"/>
          <w:szCs w:val="21"/>
        </w:rPr>
        <w:t xml:space="preserve">Why did the women’s song in 1 Samuel 18 affect Saul so deeply?</w:t>
      </w:r>
    </w:p>
    <w:p>
      <w:pPr>
        <w:keepNext/>
        <w:keepLines/>
        <w:tabs>
          <w:tab w:val="left" w:pos="360"/>
        </w:tabs>
        <w:spacing w:after="80" w:line="276"/>
        <w:ind w:left="360" w:hanging="360"/>
      </w:pPr>
      <w:r>
        <w:rPr>
          <w:b/>
          <w:bCs/>
          <w:color w:val="A67C1A"/>
          <w:sz w:val="21"/>
          <w:szCs w:val="21"/>
        </w:rPr>
        <w:t xml:space="preserve">2.</w:t>
      </w:r>
      <w:r>
        <w:t xml:space="preserve">	</w:t>
      </w:r>
      <w:r>
        <w:rPr>
          <w:sz w:val="21"/>
          <w:szCs w:val="21"/>
        </w:rPr>
        <w:t xml:space="preserve">How did Moses’s response to Eldad and Medad reveal his security in God?</w:t>
      </w:r>
    </w:p>
    <w:p>
      <w:pPr>
        <w:keepNext/>
        <w:keepLines/>
        <w:tabs>
          <w:tab w:val="left" w:pos="360"/>
        </w:tabs>
        <w:spacing w:after="80" w:line="276"/>
        <w:ind w:left="360" w:hanging="360"/>
      </w:pPr>
      <w:r>
        <w:rPr>
          <w:b/>
          <w:bCs/>
          <w:color w:val="A67C1A"/>
          <w:sz w:val="21"/>
          <w:szCs w:val="21"/>
        </w:rPr>
        <w:t xml:space="preserve">3.</w:t>
      </w:r>
      <w:r>
        <w:t xml:space="preserve">	</w:t>
      </w:r>
      <w:r>
        <w:rPr>
          <w:sz w:val="21"/>
          <w:szCs w:val="21"/>
        </w:rPr>
        <w:t xml:space="preserve">In what ways can jealousy prevent a leader from preparing successors?</w:t>
      </w:r>
    </w:p>
    <w:p>
      <w:pPr>
        <w:keepNext w:val="false"/>
        <w:keepLines/>
        <w:tabs>
          <w:tab w:val="left" w:pos="360"/>
        </w:tabs>
        <w:spacing w:after="80" w:line="276"/>
        <w:ind w:left="360" w:hanging="360"/>
      </w:pPr>
      <w:r>
        <w:rPr>
          <w:b/>
          <w:bCs/>
          <w:color w:val="A67C1A"/>
          <w:sz w:val="21"/>
          <w:szCs w:val="21"/>
        </w:rPr>
        <w:t xml:space="preserve">4.</w:t>
      </w:r>
      <w:r>
        <w:t xml:space="preserve">	</w:t>
      </w:r>
      <w:r>
        <w:rPr>
          <w:sz w:val="21"/>
          <w:szCs w:val="21"/>
        </w:rPr>
        <w:t xml:space="preserve">What practical steps can a leader take to celebrate the success of others?</w:t>
      </w:r>
    </w:p>
    <w:p>
      <w:pPr>
        <w:sectPr>
          <w:headerReference w:type="default" r:id="rId59"/>
          <w:headerReference w:type="first" r:id="rId60"/>
          <w:footerReference w:type="default" r:id="rId61"/>
          <w:footerReference w:type="first" r:id="rId62"/>
          <w:type w:val="nextPage"/>
          <w:pgSz w:w="8640" w:h="12960" w:orient="portrait"/>
          <w:pgMar w:top="1080" w:right="936" w:bottom="1008" w:left="1008" w:header="560" w:footer="520" w:gutter="0"/>
          <w:pgNumType w:fmt="decimal"/>
          <w:titlePg/>
          <w:docGrid w:linePitch="360"/>
        </w:sectPr>
      </w:pPr>
    </w:p>
    <w:p>
      <w:pPr>
        <w:spacing w:after="160" w:before="1300"/>
        <w:jc w:val="center"/>
      </w:pPr>
      <w:r>
        <w:rPr>
          <w:b/>
          <w:bCs/>
          <w:color w:val="A67C1A"/>
          <w:spacing w:val="60"/>
          <w:sz w:val="20"/>
          <w:szCs w:val="20"/>
        </w:rPr>
        <w:t xml:space="preserve">CHAPTER 8</w:t>
      </w:r>
    </w:p>
    <w:p>
      <w:pPr>
        <w:pStyle w:val="Heading1"/>
      </w:pPr>
      <w:bookmarkStart w:id="1082" w:name="toc_278"/>
      <w:r>
        <w:t xml:space="preserve">The Fear of People: When Approval Replaces Obedience</w:t>
      </w:r>
      <w:bookmarkEnd w:id="1082"/>
    </w:p>
    <w:p>
      <w:pPr>
        <w:spacing w:after="60" w:before="60" w:line="276"/>
        <w:ind w:left="720" w:right="720"/>
        <w:jc w:val="center"/>
      </w:pPr>
      <w:r>
        <w:rPr>
          <w:i/>
          <w:iCs/>
          <w:color w:val="555555"/>
          <w:sz w:val="21"/>
          <w:szCs w:val="21"/>
        </w:rPr>
        <w:t xml:space="preserve">The fear of man bringeth a snare: but whoso putteth his trust in the LORD shall be safe.</w:t>
      </w:r>
    </w:p>
    <w:p>
      <w:pPr>
        <w:spacing w:after="480"/>
        <w:jc w:val="center"/>
      </w:pPr>
      <w:r>
        <w:rPr>
          <w:color w:val="A67C1A"/>
          <w:sz w:val="19"/>
          <w:szCs w:val="19"/>
        </w:rPr>
        <w:t xml:space="preserve">— </w:t>
      </w:r>
      <w:r>
        <w:rPr>
          <w:smallCaps/>
          <w:color w:val="A67C1A"/>
          <w:sz w:val="19"/>
          <w:szCs w:val="19"/>
        </w:rPr>
        <w:t xml:space="preserve">Proverbs 29:25</w:t>
      </w:r>
    </w:p>
    <w:p>
      <w:pPr>
        <w:pStyle w:val="BodyFirst"/>
      </w:pPr>
      <w:r>
        <w:t xml:space="preserve">Proverbs uses precisely the language of this book: the fear of man “bringeth a snare.” Of all the pitfalls of leadership, this one is perhaps the most socially acceptable. It rarely looks like sin. It looks like diplomacy, sensitivity, consensus-building or pastoral wisdom. Yet when the desire for human approval displaces obedience to God, the leader becomes a follower of the crowd rather than a shepherd of the flock.</w:t>
      </w:r>
    </w:p>
    <w:p>
      <w:pPr>
        <w:pStyle w:val="Heading2"/>
      </w:pPr>
      <w:r>
        <w:t xml:space="preserve">Aaron and the Golden Calf</w:t>
      </w:r>
    </w:p>
    <w:p>
      <w:pPr>
        <w:pStyle w:val="BodyFirst"/>
      </w:pPr>
      <w:r>
        <w:t xml:space="preserve">When Moses delayed on the mountain, the people gathered around Aaron and demanded, “Up, make us gods, which shall go before us” (Exod. 32:1). Aaron, the brother of Moses and the future high priest, did not resist. He collected their gold, fashioned a calf and proclaimed a feast “to the LORD” (32:5). When Moses confronted him, Aaron’s excuse was a masterpiece of evasion: “Thou knowest the people, that they are set on mischief… I cast it into the fire, and there came out this calf” (32:22, 24). He blamed the people and described the idol as if it had made itself.</w:t>
      </w:r>
    </w:p>
    <w:p>
      <w:pPr>
        <w:pStyle w:val="Body"/>
      </w:pPr>
      <w:r>
        <w:t xml:space="preserve">Moses’s verdict is telling: “Aaron had made them naked unto their shame among their enemies” (32:25). A leader who gives the people whatever they demand does not serve them; he exposes them.</w:t>
      </w:r>
    </w:p>
    <w:p>
      <w:pPr>
        <w:pStyle w:val="Heading2"/>
      </w:pPr>
      <w:r>
        <w:t xml:space="preserve">Saul: “I Feared the People”</w:t>
      </w:r>
    </w:p>
    <w:p>
      <w:pPr>
        <w:pStyle w:val="BodyFirst"/>
      </w:pPr>
      <w:r>
        <w:t xml:space="preserve">When Samuel confronted Saul over his failure to destroy Amalek completely, Saul eventually admitted the root of his disobedience: “I have sinned: for I have transgressed the commandment of the LORD, and thy words: because I feared the people, and obeyed their voice” (1 Sam. 15:24). Saul’s confession identifies with precision the mechanism of his fall. He listened to the people’s voice rather than God’s. The irony is that fear of the people did not preserve his kingdom; it cost him the kingdom.</w:t>
      </w:r>
    </w:p>
    <w:p>
      <w:pPr>
        <w:pStyle w:val="Heading2"/>
      </w:pPr>
      <w:r>
        <w:t xml:space="preserve">Pilate and the Crowd</w:t>
      </w:r>
    </w:p>
    <w:p>
      <w:pPr>
        <w:pStyle w:val="BodyFirst"/>
      </w:pPr>
      <w:r>
        <w:t xml:space="preserve">As noted in Chapter 2, Pontius Pilate knew that Jesus was innocent. He declared three times that he found no fault in him (John 18:38; 19:4, 6). Yet when the crowd threatened his standing with Caesar, he yielded. Mark states the motive plainly: “Pilate, willing to content the people, released Barabbas unto them, and delivered Jesus” (Mark 15:15). The phrase “willing to content the people” could serve as the epitaph of every leader who has sacrificed truth to popularity.</w:t>
      </w:r>
    </w:p>
    <w:p>
      <w:pPr>
        <w:pStyle w:val="Heading2"/>
      </w:pPr>
      <w:r>
        <w:t xml:space="preserve">Peter at Antioch</w:t>
      </w:r>
    </w:p>
    <w:p>
      <w:pPr>
        <w:pStyle w:val="BodyFirst"/>
      </w:pPr>
      <w:r>
        <w:t xml:space="preserve">Even an apostle could fall into this snare after Pentecost. At Antioch Peter ate freely with Gentile believers until certain men came from James. Then “he withdrew and separated himself, fearing them which were of the circumcision” (Gal. 2:12). His example was so influential that “the other Jews dissembled likewise with him; insomuch that Barnabas also was carried away with their dissimulation” (2:13). Paul confronted him publicly, because the issue touched the heart of the gospel.</w:t>
      </w:r>
    </w:p>
    <w:p>
      <w:pPr>
        <w:pStyle w:val="Body"/>
      </w:pPr>
      <w:r>
        <w:t xml:space="preserve">This episode reveals two sobering truths. First, the fear of people can overtake even mature leaders who have previously shown great courage. Peter had faced the Sanhedrin boldly (Acts 4:19–20), yet he buckled before the disapproval of fellow believers. Second, a leader’s compromise is never merely personal; it carries others with it. Barnabas, the “son of consolation,” was swept along.</w:t>
      </w:r>
    </w:p>
    <w:p>
      <w:pPr>
        <w:pStyle w:val="Heading2"/>
      </w:pPr>
      <w:r>
        <w:t xml:space="preserve">The Courage of the Prophets</w:t>
      </w:r>
    </w:p>
    <w:p>
      <w:pPr>
        <w:pStyle w:val="BodyFirst"/>
      </w:pPr>
      <w:r>
        <w:t xml:space="preserve">Against these failures stand the prophets, whose defining characteristic was their willingness to speak God’s word regardless of the audience. Micaiah the son of Imlah was pressured to agree with four hundred prophets who had promised victory to Ahab. His answer was simple: “As the LORD liveth, what the LORD saith unto me, that will I speak” (1 Kgs. 22:14). He was imprisoned for it, but he was right. Jeremiah was told by God, “Be not afraid of their faces: for I am with thee to deliver thee” (Jer. 1:8). Paul could say, “If I yet pleased men, I should not be the servant of Christ” (Gal. 1:10).</w:t>
      </w:r>
    </w:p>
    <w:p>
      <w:pPr>
        <w:pStyle w:val="Heading2"/>
      </w:pPr>
      <w:r>
        <w:t xml:space="preserve">Contemporary Implications</w:t>
      </w:r>
    </w:p>
    <w:p>
      <w:pPr>
        <w:pStyle w:val="BodyFirst"/>
      </w:pPr>
      <w:r>
        <w:t xml:space="preserve">The fear of people in contemporary ministry takes many forms. It may appear as a reluctance to preach on unpopular subjects such as sin, judgement, holiness, sexual ethics or financial integrity. It may take the form of deference to wealthy members or influential families, or of silence when a powerful person in the congregation behaves badly. It may appear as the shaping of doctrine to what attracts the largest crowd. In the age of social media, the fear of people is intensified by instant public feedback. Every sermon clip can be measured in likes and shares.</w:t>
      </w:r>
    </w:p>
    <w:p>
      <w:pPr>
        <w:pStyle w:val="Body"/>
      </w:pPr>
      <w:r>
        <w:t xml:space="preserve">Yet the fear of people is not overcome by indifference to people. The prophets loved Israel deeply. The answer is a greater fear, the fear of the Lord, which is “the beginning of wisdom” (Prov. 9:10). The leader who fears God supremely is freed to love people without being ruled by them.</w:t>
      </w:r>
    </w:p>
    <w:p>
      <w:pPr>
        <w:keepNext/>
        <w:pBdr>
          <w:top w:val="single" w:color="A67C1A" w:sz="6" w:space="8"/>
        </w:pBdr>
        <w:spacing w:after="120" w:before="360"/>
      </w:pPr>
      <w:r>
        <w:rPr>
          <w:b/>
          <w:bCs/>
          <w:smallCaps/>
          <w:color w:val="1F3864"/>
          <w:spacing w:val="20"/>
          <w:sz w:val="22"/>
          <w:szCs w:val="22"/>
        </w:rPr>
        <w:t xml:space="preserve">For Reflection and Discussion</w:t>
      </w:r>
    </w:p>
    <w:p>
      <w:pPr>
        <w:keepNext/>
        <w:keepLines/>
        <w:tabs>
          <w:tab w:val="left" w:pos="360"/>
        </w:tabs>
        <w:spacing w:after="80" w:line="276"/>
        <w:ind w:left="360" w:hanging="360"/>
      </w:pPr>
      <w:r>
        <w:rPr>
          <w:b/>
          <w:bCs/>
          <w:color w:val="A67C1A"/>
          <w:sz w:val="21"/>
          <w:szCs w:val="21"/>
        </w:rPr>
        <w:t xml:space="preserve">1.</w:t>
      </w:r>
      <w:r>
        <w:t xml:space="preserve">	</w:t>
      </w:r>
      <w:r>
        <w:rPr>
          <w:sz w:val="21"/>
          <w:szCs w:val="21"/>
        </w:rPr>
        <w:t xml:space="preserve">Aaron blamed the people for the golden calf. How do leaders today shift responsibility for decisions they made?</w:t>
      </w:r>
    </w:p>
    <w:p>
      <w:pPr>
        <w:keepNext/>
        <w:keepLines/>
        <w:tabs>
          <w:tab w:val="left" w:pos="360"/>
        </w:tabs>
        <w:spacing w:after="80" w:line="276"/>
        <w:ind w:left="360" w:hanging="360"/>
      </w:pPr>
      <w:r>
        <w:rPr>
          <w:b/>
          <w:bCs/>
          <w:color w:val="A67C1A"/>
          <w:sz w:val="21"/>
          <w:szCs w:val="21"/>
        </w:rPr>
        <w:t xml:space="preserve">2.</w:t>
      </w:r>
      <w:r>
        <w:t xml:space="preserve">	</w:t>
      </w:r>
      <w:r>
        <w:rPr>
          <w:sz w:val="21"/>
          <w:szCs w:val="21"/>
        </w:rPr>
        <w:t xml:space="preserve">Which subjects are hardest to preach on in your context because of the fear of people?</w:t>
      </w:r>
    </w:p>
    <w:p>
      <w:pPr>
        <w:keepNext/>
        <w:keepLines/>
        <w:tabs>
          <w:tab w:val="left" w:pos="360"/>
        </w:tabs>
        <w:spacing w:after="80" w:line="276"/>
        <w:ind w:left="360" w:hanging="360"/>
      </w:pPr>
      <w:r>
        <w:rPr>
          <w:b/>
          <w:bCs/>
          <w:color w:val="A67C1A"/>
          <w:sz w:val="21"/>
          <w:szCs w:val="21"/>
        </w:rPr>
        <w:t xml:space="preserve">3.</w:t>
      </w:r>
      <w:r>
        <w:t xml:space="preserve">	</w:t>
      </w:r>
      <w:r>
        <w:rPr>
          <w:sz w:val="21"/>
          <w:szCs w:val="21"/>
        </w:rPr>
        <w:t xml:space="preserve">How did Peter’s compromise at Antioch affect others? What does this teach about the influence of leaders?</w:t>
      </w:r>
    </w:p>
    <w:p>
      <w:pPr>
        <w:keepNext w:val="false"/>
        <w:keepLines/>
        <w:tabs>
          <w:tab w:val="left" w:pos="360"/>
        </w:tabs>
        <w:spacing w:after="80" w:line="276"/>
        <w:ind w:left="360" w:hanging="360"/>
      </w:pPr>
      <w:r>
        <w:rPr>
          <w:b/>
          <w:bCs/>
          <w:color w:val="A67C1A"/>
          <w:sz w:val="21"/>
          <w:szCs w:val="21"/>
        </w:rPr>
        <w:t xml:space="preserve">4.</w:t>
      </w:r>
      <w:r>
        <w:t xml:space="preserve">	</w:t>
      </w:r>
      <w:r>
        <w:rPr>
          <w:sz w:val="21"/>
          <w:szCs w:val="21"/>
        </w:rPr>
        <w:t xml:space="preserve">What is the difference between sensitivity to people and fear of people?</w:t>
      </w:r>
    </w:p>
    <w:p>
      <w:pPr>
        <w:sectPr>
          <w:headerReference w:type="default" r:id="rId63"/>
          <w:headerReference w:type="first" r:id="rId64"/>
          <w:footerReference w:type="default" r:id="rId65"/>
          <w:footerReference w:type="first" r:id="rId66"/>
          <w:type w:val="nextPage"/>
          <w:pgSz w:w="8640" w:h="12960" w:orient="portrait"/>
          <w:pgMar w:top="1080" w:right="936" w:bottom="1008" w:left="1008" w:header="560" w:footer="520" w:gutter="0"/>
          <w:pgNumType w:fmt="decimal"/>
          <w:titlePg/>
          <w:docGrid w:linePitch="360"/>
        </w:sectPr>
      </w:pPr>
    </w:p>
    <w:p>
      <w:pPr>
        <w:spacing w:after="160" w:before="1300"/>
        <w:jc w:val="center"/>
      </w:pPr>
      <w:r>
        <w:rPr>
          <w:b/>
          <w:bCs/>
          <w:color w:val="A67C1A"/>
          <w:spacing w:val="60"/>
          <w:sz w:val="20"/>
          <w:szCs w:val="20"/>
        </w:rPr>
        <w:t xml:space="preserve">CHAPTER 9</w:t>
      </w:r>
    </w:p>
    <w:p>
      <w:pPr>
        <w:pStyle w:val="Heading1"/>
      </w:pPr>
      <w:bookmarkStart w:id="1083" w:name="toc_304"/>
      <w:r>
        <w:t xml:space="preserve">Anger and the Unguarded Tongue</w:t>
      </w:r>
      <w:bookmarkEnd w:id="1083"/>
    </w:p>
    <w:p>
      <w:pPr>
        <w:spacing w:after="60" w:before="60" w:line="276"/>
        <w:ind w:left="720" w:right="720"/>
        <w:jc w:val="center"/>
      </w:pPr>
      <w:r>
        <w:rPr>
          <w:i/>
          <w:iCs/>
          <w:color w:val="555555"/>
          <w:sz w:val="21"/>
          <w:szCs w:val="21"/>
        </w:rPr>
        <w:t xml:space="preserve">For the wrath of man worketh not the righteousness of God.</w:t>
      </w:r>
    </w:p>
    <w:p>
      <w:pPr>
        <w:spacing w:after="480"/>
        <w:jc w:val="center"/>
      </w:pPr>
      <w:r>
        <w:rPr>
          <w:color w:val="A67C1A"/>
          <w:sz w:val="19"/>
          <w:szCs w:val="19"/>
        </w:rPr>
        <w:t xml:space="preserve">— </w:t>
      </w:r>
      <w:r>
        <w:rPr>
          <w:smallCaps/>
          <w:color w:val="A67C1A"/>
          <w:sz w:val="19"/>
          <w:szCs w:val="19"/>
        </w:rPr>
        <w:t xml:space="preserve">James 1:20</w:t>
      </w:r>
    </w:p>
    <w:p>
      <w:pPr>
        <w:pStyle w:val="BodyFirst"/>
      </w:pPr>
      <w:r>
        <w:t xml:space="preserve">Among the qualifications for an overseer, Paul lists a cluster of requirements that concern temper and speech: a bishop must be “no striker… not a brawler” (1 Tim. 3:3), “not selfwilled, not soon angry” (Titus 1:7). James, writing to teachers in particular, warns that the tongue “is a fire, a world of iniquity” and that “if any man offend not in word, the same is a perfect man, and able also to bridle the whole body” (Jas. 3:2, 6). The apostles evidently believed that uncontrolled anger and careless speech were disqualifying faults in leaders. Yet this pitfall is often excused. A leader known for his temper may be described as passionate, zealous or strong. Scripture takes a more sober view.</w:t>
      </w:r>
    </w:p>
    <w:p>
      <w:pPr>
        <w:pStyle w:val="Heading2"/>
      </w:pPr>
      <w:r>
        <w:t xml:space="preserve">Moses: The Anger That Cost Him Twice</w:t>
      </w:r>
    </w:p>
    <w:p>
      <w:pPr>
        <w:pStyle w:val="BodyFirst"/>
      </w:pPr>
      <w:r>
        <w:t xml:space="preserve">Moses’s first recorded act as a would-be deliverer was an act of anger. Seeing an Egyptian beating a Hebrew, “he looked this way and that way, and when he saw that there was no man, he slew the Egyptian, and hid him in the sand” (Exod. 2:12). His motive was justice, but his method was violence, and his action was hidden. The result was forty years of exile in Midian. God would indeed use Moses to deliver Israel, but not by the method of his own anger.</w:t>
      </w:r>
    </w:p>
    <w:p>
      <w:pPr>
        <w:pStyle w:val="Body"/>
      </w:pPr>
      <w:r>
        <w:t xml:space="preserve">Forty years later, at the end of the wilderness journey, anger overtook him again. As we shall see more fully in Chapter 10, at Meribah he struck the rock and spoke rashly: “Hear now, ye rebels” (Num. 20:10). The psalmist later reflected on that moment: “They provoked his spirit, so that he spake unadvisedly with his lips” (Ps. 106:33). The meekest man on earth was not immune to provocation. The people’s constant complaints wore him down, and in one unguarded moment he lost the privilege of entering the land. Anger is often the fruit of accumulated pressure, and leaders who carry heavy burdens without rest are especially vulnerable to it.</w:t>
      </w:r>
    </w:p>
    <w:p>
      <w:pPr>
        <w:pStyle w:val="Heading2"/>
      </w:pPr>
      <w:r>
        <w:t xml:space="preserve">Jephthah: The Rash Word</w:t>
      </w:r>
    </w:p>
    <w:p>
      <w:pPr>
        <w:pStyle w:val="BodyFirst"/>
      </w:pPr>
      <w:r>
        <w:t xml:space="preserve">Jephthah was a mighty man of valour whom God used to deliver Israel from the Ammonites. Before the battle he made a vow: “Whatsoever cometh forth of the doors of my house to meet me, when I return in peace… shall surely be the LORD’s, and I will offer it up for a burnt offering” (Judg. 11:31). When he returned victorious, it was his only daughter who came out to meet him with timbrels and dances. The narrative is among the most painful in Scripture. Whatever the precise nature of what followed, Jephthah’s rash words brought devastating grief to his household.</w:t>
      </w:r>
    </w:p>
    <w:p>
      <w:pPr>
        <w:pStyle w:val="Body"/>
      </w:pPr>
      <w:r>
        <w:t xml:space="preserve">The lesson for leaders is plain. Words spoken in the heat of emotion, whether vows, threats, promises or curses, can bind and wound in ways the speaker never intended. The Preacher counsels, “Be not rash with thy mouth, and let not thine heart be hasty to utter any thing before God” (Eccl. 5:2).</w:t>
      </w:r>
    </w:p>
    <w:p>
      <w:pPr>
        <w:pStyle w:val="Heading2"/>
      </w:pPr>
      <w:r>
        <w:t xml:space="preserve">David and Abigail: Anger Restrained</w:t>
      </w:r>
    </w:p>
    <w:p>
      <w:pPr>
        <w:pStyle w:val="BodyFirst"/>
      </w:pPr>
      <w:r>
        <w:t xml:space="preserve">First Samuel 25 records a moment when David, the anointed but not yet crowned king, was on the verge of committing a grave sin in anger. Nabal, a wealthy and churlish man, had insulted David’s messengers and refused them provisions after David’s men had protected his flocks. David’s reaction was immediate: “Gird ye on every man his sword” (25:13). He vowed to leave no male of Nabal’s household alive by morning.</w:t>
      </w:r>
    </w:p>
    <w:p>
      <w:pPr>
        <w:pStyle w:val="Body"/>
      </w:pPr>
      <w:r>
        <w:t xml:space="preserve">It was Abigail, Nabal’s wise wife, who intervened. She met David on the road with provisions and a speech of remarkable wisdom, reminding him that when God had made him ruler over Israel, “this shall be no grief unto thee, nor offence of heart unto my lord, either that thou hast shed blood causeless” (25:31). David recognised God’s hand in her intervention: “Blessed be the LORD God of Israel, which sent thee this day to meet me: and blessed be thy advice, and blessed be thou, which hast kept me this day from coming to shed blood” (25:32–33).</w:t>
      </w:r>
    </w:p>
    <w:p>
      <w:pPr>
        <w:pStyle w:val="Body"/>
      </w:pPr>
      <w:r>
        <w:t xml:space="preserve">The story offers two lessons. First, even a godly leader can be carried by anger to the edge of catastrophe. Second, God often sends restraint through other people. The leader who surrounds himself with people like Abigail, wise, courageous and willing to speak, is protected from himself. The leader who silences such voices loses one of God’s means of grace.</w:t>
      </w:r>
    </w:p>
    <w:p>
      <w:pPr>
        <w:pStyle w:val="Heading2"/>
      </w:pPr>
      <w:r>
        <w:t xml:space="preserve">The Sons of Thunder</w:t>
      </w:r>
    </w:p>
    <w:p>
      <w:pPr>
        <w:pStyle w:val="BodyFirst"/>
      </w:pPr>
      <w:r>
        <w:t xml:space="preserve">When a Samaritan village refused to receive Jesus, James and John asked, “Lord, wilt thou that we command fire to come down from heaven, and consume them, even as Elias did?” Jesus “turned, and rebuked them, and said, Ye know not what manner of spirit ye are of. For the Son of man is not come to destroy men’s lives, but to save them” (Luke 9:54–56). The disciples dressed their anger in biblical precedent; they could even cite Elijah. But Jesus discerned the spirit behind it.</w:t>
      </w:r>
    </w:p>
    <w:p>
      <w:pPr>
        <w:pStyle w:val="Body"/>
      </w:pPr>
      <w:r>
        <w:t xml:space="preserve">Peter’s impulsive swordstroke in Gethsemane, severing the ear of the high priest’s servant, is another example of zeal expressed as violence. Jesus healed the ear and told Peter to put up his sword (John 18:10–11; Luke 22:51). The kingdom of God is not advanced by the anger of its servants.</w:t>
      </w:r>
    </w:p>
    <w:p>
      <w:pPr>
        <w:pStyle w:val="Heading2"/>
      </w:pPr>
      <w:r>
        <w:t xml:space="preserve">Paul and Barnabas: Contention and Reconciliation</w:t>
      </w:r>
    </w:p>
    <w:p>
      <w:pPr>
        <w:pStyle w:val="BodyFirst"/>
      </w:pPr>
      <w:r>
        <w:t xml:space="preserve">Even the apostles quarrelled. When Paul and Barnabas disagreed over whether to take John Mark on their second journey, “the contention was so sharp between them, that they departed asunder one from the other” (Acts 15:39). Scripture does not hide the conflict. Yet the story does not end there. Years later Paul commends Mark to the Colossians (Col. 4:10) and, near the end of his life, writes to Timothy, “Take Mark, and bring him with thee: for he is profitable to me for the ministry” (2 Tim. 4:11). Sharp disagreement need not become permanent bitterness. The mark of a mature leader is not that he never experiences conflict, but that he does not let the sun go down on his wrath (Eph. 4:26).</w:t>
      </w:r>
    </w:p>
    <w:p>
      <w:pPr>
        <w:pStyle w:val="Heading2"/>
      </w:pPr>
      <w:r>
        <w:t xml:space="preserve">The Roman Philosophers on Anger</w:t>
      </w:r>
    </w:p>
    <w:p>
      <w:pPr>
        <w:pStyle w:val="BodyFirst"/>
      </w:pPr>
      <w:r>
        <w:t xml:space="preserve">The Roman world thought carefully about anger, because the anger of powerful men could be lethal. Seneca devoted a whole treatise, </w:t>
      </w:r>
      <w:r>
        <w:rPr>
          <w:i/>
          <w:iCs/>
        </w:rPr>
        <w:t xml:space="preserve">On Anger</w:t>
      </w:r>
      <w:r>
        <w:t xml:space="preserve">, to the subject, addressed to his brother Novatus. He argued that anger is a brief madness and that its greatest remedy is delay, since the first heat of passion fades if it is given time.</w:t>
      </w:r>
      <w:hyperlink w:anchor="note_9_1">
        <w:r>
          <w:rPr>
            <w:rFonts w:ascii="Times New Roman" w:cs="Times New Roman" w:eastAsia="Times New Roman" w:hAnsi="Times New Roman"/>
            <w:vertAlign w:val="superscript"/>
          </w:rPr>
          <w:t xml:space="preserve">1</w:t>
        </w:r>
      </w:hyperlink>
      <w:r>
        <w:t xml:space="preserve"> He tells of Plato, who, angry with a slave, stood with his hand raised and said he was punishing himself for being angry; on another occasion he asked a friend to chastise a slave for him, because he was himself angry.</w:t>
      </w:r>
      <w:hyperlink w:anchor="note_9_2">
        <w:r>
          <w:rPr>
            <w:rFonts w:ascii="Times New Roman" w:cs="Times New Roman" w:eastAsia="Times New Roman" w:hAnsi="Times New Roman"/>
            <w:vertAlign w:val="superscript"/>
          </w:rPr>
          <w:t xml:space="preserve">2</w:t>
        </w:r>
      </w:hyperlink>
    </w:p>
    <w:p>
      <w:pPr>
        <w:pStyle w:val="Body"/>
      </w:pPr>
      <w:r>
        <w:t xml:space="preserve">The Christian era records a striking application of this principle. After the massacre at Thessalonica in AD 390, discussed in Chapter 14, the Theodosian Code preserves a law requiring that sentences of death or confiscation imposed by the emperor should not be carried out for thirty days, so that anger might cool and the decision be reviewed. Many historians have connected this law with Ambrose’s rebuke of Theodosius, though its dating is debated.</w:t>
      </w:r>
      <w:hyperlink w:anchor="note_9_3">
        <w:r>
          <w:rPr>
            <w:rFonts w:ascii="Times New Roman" w:cs="Times New Roman" w:eastAsia="Times New Roman" w:hAnsi="Times New Roman"/>
            <w:vertAlign w:val="superscript"/>
          </w:rPr>
          <w:t xml:space="preserve">3</w:t>
        </w:r>
      </w:hyperlink>
      <w:r>
        <w:t xml:space="preserve"> Whatever its origins, the principle is wise: the more power a leader holds, the more his decisions made in anger will cost others.</w:t>
      </w:r>
    </w:p>
    <w:p>
      <w:pPr>
        <w:pStyle w:val="Body"/>
      </w:pPr>
      <w:r>
        <w:t xml:space="preserve">Basil of Caesarea preached a homily against those prone to anger, warning that anger, once it seizes control, blinds the reason and makes a man like a beast, and urging his hearers to master it by meekness and by remembering their own need of forgiveness.</w:t>
      </w:r>
      <w:hyperlink w:anchor="note_9_4">
        <w:r>
          <w:rPr>
            <w:rFonts w:ascii="Times New Roman" w:cs="Times New Roman" w:eastAsia="Times New Roman" w:hAnsi="Times New Roman"/>
            <w:vertAlign w:val="superscript"/>
          </w:rPr>
          <w:t xml:space="preserve">4</w:t>
        </w:r>
      </w:hyperlink>
    </w:p>
    <w:p>
      <w:pPr>
        <w:pStyle w:val="Heading2"/>
      </w:pPr>
      <w:r>
        <w:t xml:space="preserve">Righteous Anger and Its Limits</w:t>
      </w:r>
    </w:p>
    <w:p>
      <w:pPr>
        <w:pStyle w:val="BodyFirst"/>
      </w:pPr>
      <w:r>
        <w:t xml:space="preserve">Scripture does not condemn all anger. Jesus looked round on the Pharisees “with anger, being grieved for the hardness of their hearts” (Mark 3:5), and he drove the money-changers from the temple (John 2:15–17). Paul commands, “Be ye angry, and sin not” (Eph. 4:26). There is a proper indignation against injustice, cruelty and the dishonouring of God.</w:t>
      </w:r>
    </w:p>
    <w:p>
      <w:pPr>
        <w:pStyle w:val="Body"/>
      </w:pPr>
      <w:r>
        <w:t xml:space="preserve">But righteous anger has marks that distinguish it from the ordinary anger of wounded pride. It is directed at sin rather than at personal slight. It is accompanied by grief rather than pleasure. It is controlled rather than explosive. It seeks restoration rather than revenge. And it is quick to pass once its purpose is served. The leader who finds that most of his anger concerns his own authority, reputation or convenience should be honest enough to recognise that it is not righteous.</w:t>
      </w:r>
    </w:p>
    <w:p>
      <w:pPr>
        <w:pStyle w:val="Heading2"/>
      </w:pPr>
      <w:r>
        <w:t xml:space="preserve">Contemporary Implications</w:t>
      </w:r>
    </w:p>
    <w:p>
      <w:pPr>
        <w:pStyle w:val="BodyFirst"/>
      </w:pPr>
      <w:r>
        <w:t xml:space="preserve">The unguarded tongue takes many forms in contemporary ministry: pulpit tirades against members who have displeased the leader, public humiliation of staff, harsh words spoken to spouses and children at home, threats of spiritual consequences against those who leave a church, and curses pronounced in anger. In the age of social media, a single angry post can undo years of patient witness. Leaders must also beware of the anger that hides beneath a calm surface and expresses itself as coldness, exclusion or quiet revenge.</w:t>
      </w:r>
    </w:p>
    <w:p>
      <w:pPr>
        <w:pStyle w:val="Body"/>
      </w:pPr>
      <w:r>
        <w:t xml:space="preserve">The remedies are ancient and practical. Delay before speaking or deciding. Speak privately before speaking publicly (Matt. 18:15). Invite an Abigail to speak into moments of provocation. Examine whether the anger concerns God’s honour or one’s own. Seek reconciliation quickly. And remember James’s counsel: “Let every man be swift to hear, slow to speak, slow to wrath: for the wrath of man worketh not the righteousness of God” (Jas. 1:19–20).</w:t>
      </w:r>
    </w:p>
    <w:p>
      <w:pPr>
        <w:keepNext/>
        <w:pBdr>
          <w:top w:val="single" w:color="A67C1A" w:sz="6" w:space="8"/>
        </w:pBdr>
        <w:spacing w:after="120" w:before="360"/>
      </w:pPr>
      <w:r>
        <w:rPr>
          <w:b/>
          <w:bCs/>
          <w:smallCaps/>
          <w:color w:val="1F3864"/>
          <w:spacing w:val="20"/>
          <w:sz w:val="22"/>
          <w:szCs w:val="22"/>
        </w:rPr>
        <w:t xml:space="preserve">For Reflection and Discussion</w:t>
      </w:r>
    </w:p>
    <w:p>
      <w:pPr>
        <w:keepNext/>
        <w:keepLines/>
        <w:tabs>
          <w:tab w:val="left" w:pos="360"/>
        </w:tabs>
        <w:spacing w:after="80" w:line="276"/>
        <w:ind w:left="360" w:hanging="360"/>
      </w:pPr>
      <w:r>
        <w:rPr>
          <w:b/>
          <w:bCs/>
          <w:color w:val="A67C1A"/>
          <w:sz w:val="21"/>
          <w:szCs w:val="21"/>
        </w:rPr>
        <w:t xml:space="preserve">1.</w:t>
      </w:r>
      <w:r>
        <w:t xml:space="preserve">	</w:t>
      </w:r>
      <w:r>
        <w:rPr>
          <w:sz w:val="21"/>
          <w:szCs w:val="21"/>
        </w:rPr>
        <w:t xml:space="preserve">What is the difference between righteous anger and the anger of wounded pride?</w:t>
      </w:r>
    </w:p>
    <w:p>
      <w:pPr>
        <w:keepNext/>
        <w:keepLines/>
        <w:tabs>
          <w:tab w:val="left" w:pos="360"/>
        </w:tabs>
        <w:spacing w:after="80" w:line="276"/>
        <w:ind w:left="360" w:hanging="360"/>
      </w:pPr>
      <w:r>
        <w:rPr>
          <w:b/>
          <w:bCs/>
          <w:color w:val="A67C1A"/>
          <w:sz w:val="21"/>
          <w:szCs w:val="21"/>
        </w:rPr>
        <w:t xml:space="preserve">2.</w:t>
      </w:r>
      <w:r>
        <w:t xml:space="preserve">	</w:t>
      </w:r>
      <w:r>
        <w:rPr>
          <w:sz w:val="21"/>
          <w:szCs w:val="21"/>
        </w:rPr>
        <w:t xml:space="preserve">Abigail restrained David from shedding blood. Who in your life plays that role?</w:t>
      </w:r>
    </w:p>
    <w:p>
      <w:pPr>
        <w:keepNext/>
        <w:keepLines/>
        <w:tabs>
          <w:tab w:val="left" w:pos="360"/>
        </w:tabs>
        <w:spacing w:after="80" w:line="276"/>
        <w:ind w:left="360" w:hanging="360"/>
      </w:pPr>
      <w:r>
        <w:rPr>
          <w:b/>
          <w:bCs/>
          <w:color w:val="A67C1A"/>
          <w:sz w:val="21"/>
          <w:szCs w:val="21"/>
        </w:rPr>
        <w:t xml:space="preserve">3.</w:t>
      </w:r>
      <w:r>
        <w:t xml:space="preserve">	</w:t>
      </w:r>
      <w:r>
        <w:rPr>
          <w:sz w:val="21"/>
          <w:szCs w:val="21"/>
        </w:rPr>
        <w:t xml:space="preserve">How has social media changed the dangers of the unguarded tongue for leaders?</w:t>
      </w:r>
    </w:p>
    <w:p>
      <w:pPr>
        <w:keepNext w:val="false"/>
        <w:keepLines/>
        <w:tabs>
          <w:tab w:val="left" w:pos="360"/>
        </w:tabs>
        <w:spacing w:after="80" w:line="276"/>
        <w:ind w:left="360" w:hanging="360"/>
      </w:pPr>
      <w:r>
        <w:rPr>
          <w:b/>
          <w:bCs/>
          <w:color w:val="A67C1A"/>
          <w:sz w:val="21"/>
          <w:szCs w:val="21"/>
        </w:rPr>
        <w:t xml:space="preserve">4.</w:t>
      </w:r>
      <w:r>
        <w:t xml:space="preserve">	</w:t>
      </w:r>
      <w:r>
        <w:rPr>
          <w:sz w:val="21"/>
          <w:szCs w:val="21"/>
        </w:rPr>
        <w:t xml:space="preserve">What practical habits help a leader delay speaking or deciding when angry?</w:t>
      </w:r>
    </w:p>
    <w:p>
      <w:pPr>
        <w:sectPr>
          <w:headerReference w:type="default" r:id="rId67"/>
          <w:headerReference w:type="first" r:id="rId68"/>
          <w:footerReference w:type="default" r:id="rId69"/>
          <w:footerReference w:type="first" r:id="rId70"/>
          <w:type w:val="nextPage"/>
          <w:pgSz w:w="8640" w:h="12960" w:orient="portrait"/>
          <w:pgMar w:top="1080" w:right="936" w:bottom="1008" w:left="1008" w:header="560" w:footer="520" w:gutter="0"/>
          <w:pgNumType w:fmt="decimal"/>
          <w:titlePg/>
          <w:docGrid w:linePitch="360"/>
        </w:sectPr>
      </w:pPr>
    </w:p>
    <w:p>
      <w:pPr>
        <w:spacing w:after="160" w:before="1300"/>
        <w:jc w:val="center"/>
      </w:pPr>
      <w:r>
        <w:rPr>
          <w:b/>
          <w:bCs/>
          <w:color w:val="A67C1A"/>
          <w:spacing w:val="60"/>
          <w:sz w:val="20"/>
          <w:szCs w:val="20"/>
        </w:rPr>
        <w:t xml:space="preserve">CHAPTER 10</w:t>
      </w:r>
    </w:p>
    <w:p>
      <w:pPr>
        <w:pStyle w:val="Heading1"/>
      </w:pPr>
      <w:bookmarkStart w:id="1084" w:name="toc_340"/>
      <w:r>
        <w:t xml:space="preserve">Presumption and Partial Obedience: Doing God’s Work in One’s Own Way</w:t>
      </w:r>
      <w:bookmarkEnd w:id="1084"/>
    </w:p>
    <w:p>
      <w:pPr>
        <w:spacing w:after="60" w:before="60" w:line="276"/>
        <w:ind w:left="720" w:right="720"/>
        <w:jc w:val="center"/>
      </w:pPr>
      <w:r>
        <w:rPr>
          <w:i/>
          <w:iCs/>
          <w:color w:val="555555"/>
          <w:sz w:val="21"/>
          <w:szCs w:val="21"/>
        </w:rPr>
        <w:t xml:space="preserve">Behold, to obey is better than sacrifice, and to hearken than the fat of rams.</w:t>
      </w:r>
    </w:p>
    <w:p>
      <w:pPr>
        <w:spacing w:after="480"/>
        <w:jc w:val="center"/>
      </w:pPr>
      <w:r>
        <w:rPr>
          <w:color w:val="A67C1A"/>
          <w:sz w:val="19"/>
          <w:szCs w:val="19"/>
        </w:rPr>
        <w:t xml:space="preserve">— </w:t>
      </w:r>
      <w:r>
        <w:rPr>
          <w:smallCaps/>
          <w:color w:val="A67C1A"/>
          <w:sz w:val="19"/>
          <w:szCs w:val="19"/>
        </w:rPr>
        <w:t xml:space="preserve">1 Samuel 15:22</w:t>
      </w:r>
    </w:p>
    <w:p>
      <w:pPr>
        <w:pStyle w:val="BodyFirst"/>
      </w:pPr>
      <w:r>
        <w:t xml:space="preserve">Some leaders fall not through obvious wickedness but through presumption: the assumption that because they are God’s servants, they may do God’s work in their own way and on their own timetable. This pitfall is especially subtle because the leader’s intentions often appear good. He is trying to advance God’s cause, protect God’s people or defend God’s honour. Yet Scripture repeatedly shows that God cares not only about what is done in his name but about how it is done.</w:t>
      </w:r>
    </w:p>
    <w:p>
      <w:pPr>
        <w:pStyle w:val="Heading2"/>
      </w:pPr>
      <w:r>
        <w:t xml:space="preserve">Saul at Gilgal: Impatience Disguised as Initiative</w:t>
      </w:r>
    </w:p>
    <w:p>
      <w:pPr>
        <w:pStyle w:val="BodyFirst"/>
      </w:pPr>
      <w:r>
        <w:t xml:space="preserve">Samuel instructed Saul to wait seven days at Gilgal until he came to offer sacrifices. As the Philistines gathered and Saul’s army began to scatter, Saul grew anxious. On the seventh day, before Samuel arrived, he offered the burnt offering himself. “And it came to pass, that as soon as he had made an end of offering the burnt offering, behold, Samuel came” (1 Sam. 13:10). Saul’s explanation sounded reasonable: the people were scattering, Samuel was late, the enemy was near, and so “I forced myself therefore, and offered a burnt offering” (13:12).</w:t>
      </w:r>
    </w:p>
    <w:p>
      <w:pPr>
        <w:pStyle w:val="Body"/>
      </w:pPr>
      <w:r>
        <w:t xml:space="preserve">Samuel’s answer was devastating: “Thou hast done foolishly: thou hast not kept the commandment of the LORD thy God… now thy kingdom shall not continue” (13:13–14). Saul’s sin was impatience disguised as initiative. He could not trust God to act within God’s timing.</w:t>
      </w:r>
    </w:p>
    <w:p>
      <w:pPr>
        <w:pStyle w:val="Heading2"/>
      </w:pPr>
      <w:r>
        <w:t xml:space="preserve">Moses at Meribah: The Rod Struck Twice</w:t>
      </w:r>
    </w:p>
    <w:p>
      <w:pPr>
        <w:pStyle w:val="BodyFirst"/>
      </w:pPr>
      <w:r>
        <w:t xml:space="preserve">Moses, the humblest man on earth, also fell into presumption. At Meribah, God commanded him to speak to the rock so that it would yield water. Instead, exasperated with the complaining people, Moses said, “Hear now, ye rebels; must we fetch you water out of this rock?” and struck the rock twice with his rod (Num. 20:10–11). Water came out abundantly, and the people drank. From the outside, the ministry was a success. Yet God said, “Because ye believed me not, to sanctify me in the eyes of the children of Israel, therefore ye shall not bring this congregation into the land” (20:12).</w:t>
      </w:r>
    </w:p>
    <w:p>
      <w:pPr>
        <w:pStyle w:val="Body"/>
      </w:pPr>
      <w:r>
        <w:t xml:space="preserve">This passage carries one of the most important lessons in the book: </w:t>
      </w:r>
      <w:r>
        <w:rPr>
          <w:b/>
          <w:bCs/>
        </w:rPr>
        <w:t xml:space="preserve">results do not prove obedience.</w:t>
      </w:r>
      <w:r>
        <w:t xml:space="preserve"> The water flowed despite Moses’s disobedience, because God was merciful to his people. A leader can see crowds, conversions and growth while personally walking in disobedience. The presence of fruit in the ministry is not always evidence of God’s approval of the minister.</w:t>
      </w:r>
    </w:p>
    <w:p>
      <w:pPr>
        <w:pStyle w:val="Body"/>
      </w:pPr>
      <w:r>
        <w:t xml:space="preserve">Notice also the words “must </w:t>
      </w:r>
      <w:r>
        <w:rPr>
          <w:i/>
          <w:iCs/>
        </w:rPr>
        <w:t xml:space="preserve">we</w:t>
      </w:r>
      <w:r>
        <w:t xml:space="preserve"> fetch you water.” In a moment of frustration, Moses spoke as though the miracle depended on himself and Aaron. Anger and presumption combined to rob God of glory.</w:t>
      </w:r>
    </w:p>
    <w:p>
      <w:pPr>
        <w:pStyle w:val="Heading2"/>
      </w:pPr>
      <w:r>
        <w:t xml:space="preserve">Uzzah and the New Cart</w:t>
      </w:r>
    </w:p>
    <w:p>
      <w:pPr>
        <w:pStyle w:val="BodyFirst"/>
      </w:pPr>
      <w:r>
        <w:t xml:space="preserve">When David sought to bring the ark of the covenant to Jerusalem, he did so with great enthusiasm, music and celebration. But the ark was placed on a new cart, following the method the Philistines had used (1 Sam. 6:7), rather than being carried on the shoulders of the Levites as the law required (Num. 4:15; 7:9). When the oxen stumbled, Uzzah reached out to steady the ark and was struck dead (2 Sam. 6:6–7). David was angry and afraid. Only later did he recognise the problem: “the LORD our God made a breach upon us, for that we sought him not after the due order” (1 Chr. 15:13).</w:t>
      </w:r>
    </w:p>
    <w:p>
      <w:pPr>
        <w:pStyle w:val="Body"/>
      </w:pPr>
      <w:r>
        <w:t xml:space="preserve">Zeal without obedience can be deadly. David’s intentions were excellent, but he adopted the methods of the Philistines for the work of God. Contemporary ministry is frequently tempted to borrow methods from the world, whether from marketing, entertainment or politics, without asking whether they are consistent with God’s revealed will.</w:t>
      </w:r>
    </w:p>
    <w:p>
      <w:pPr>
        <w:pStyle w:val="Heading2"/>
      </w:pPr>
      <w:r>
        <w:t xml:space="preserve">Partial Obedience at Amalek</w:t>
      </w:r>
    </w:p>
    <w:p>
      <w:pPr>
        <w:pStyle w:val="BodyFirst"/>
      </w:pPr>
      <w:r>
        <w:t xml:space="preserve">Saul’s second great failure came when he was commanded to destroy Amalek completely. He spared King Agag and the best of the livestock, claiming that the animals were kept for sacrifice to the LORD (1 Sam. 15:15, 21). When Samuel arrived, Saul greeted him with confidence: “Blessed be thou of the LORD: I have performed the commandment of the LORD” (15:13). Samuel’s reply exposed him: “What meaneth then this bleating of the sheep in mine ears?” (15:14).</w:t>
      </w:r>
    </w:p>
    <w:p>
      <w:pPr>
        <w:pStyle w:val="Body"/>
      </w:pPr>
      <w:r>
        <w:t xml:space="preserve">Partial obedience is disobedience. Saul had done most of what was asked and then redefined the rest in religious language. Samuel’s response has echoed through the centuries: “To obey is better than sacrifice… For rebellion is as the sin of witchcraft, and stubbornness is as iniquity and idolatry” (15:22–23).</w:t>
      </w:r>
    </w:p>
    <w:p>
      <w:pPr>
        <w:pStyle w:val="Heading2"/>
      </w:pPr>
      <w:r>
        <w:t xml:space="preserve">Contemporary Implications</w:t>
      </w:r>
    </w:p>
    <w:p>
      <w:pPr>
        <w:pStyle w:val="BodyFirst"/>
      </w:pPr>
      <w:r>
        <w:t xml:space="preserve">Presumption in modern leadership may appear as launching projects without prayer, borrowing heavily for buildings on the assumption that God must bless what the leader has started, adopting worldly methods because they work, ignoring counsel because the leader is sure he has heard from God, or treating results as proof of divine approval. It also appears when leaders use spiritual language to justify decisions that were in reality driven by ambition, impatience or anger.</w:t>
      </w:r>
    </w:p>
    <w:p>
      <w:pPr>
        <w:pStyle w:val="Body"/>
      </w:pPr>
      <w:r>
        <w:t xml:space="preserve">The antidote is a willingness to wait on God, to submit plans to the scrutiny of Scripture and wise counsel, and to measure faithfulness not by visible success but by obedience. As Samuel said, the Lord looks for a heart that listens.</w:t>
      </w:r>
    </w:p>
    <w:p>
      <w:pPr>
        <w:keepNext/>
        <w:pBdr>
          <w:top w:val="single" w:color="A67C1A" w:sz="6" w:space="8"/>
        </w:pBdr>
        <w:spacing w:after="120" w:before="360"/>
      </w:pPr>
      <w:r>
        <w:rPr>
          <w:b/>
          <w:bCs/>
          <w:smallCaps/>
          <w:color w:val="1F3864"/>
          <w:spacing w:val="20"/>
          <w:sz w:val="22"/>
          <w:szCs w:val="22"/>
        </w:rPr>
        <w:t xml:space="preserve">For Reflection and Discussion</w:t>
      </w:r>
    </w:p>
    <w:p>
      <w:pPr>
        <w:keepNext/>
        <w:keepLines/>
        <w:tabs>
          <w:tab w:val="left" w:pos="360"/>
        </w:tabs>
        <w:spacing w:after="80" w:line="276"/>
        <w:ind w:left="360" w:hanging="360"/>
      </w:pPr>
      <w:r>
        <w:rPr>
          <w:b/>
          <w:bCs/>
          <w:color w:val="A67C1A"/>
          <w:sz w:val="21"/>
          <w:szCs w:val="21"/>
        </w:rPr>
        <w:t xml:space="preserve">1.</w:t>
      </w:r>
      <w:r>
        <w:t xml:space="preserve">	</w:t>
      </w:r>
      <w:r>
        <w:rPr>
          <w:sz w:val="21"/>
          <w:szCs w:val="21"/>
        </w:rPr>
        <w:t xml:space="preserve">Why was Saul’s offering at Gilgal such a serious sin when his intentions seemed good?</w:t>
      </w:r>
    </w:p>
    <w:p>
      <w:pPr>
        <w:keepNext/>
        <w:keepLines/>
        <w:tabs>
          <w:tab w:val="left" w:pos="360"/>
        </w:tabs>
        <w:spacing w:after="80" w:line="276"/>
        <w:ind w:left="360" w:hanging="360"/>
      </w:pPr>
      <w:r>
        <w:rPr>
          <w:b/>
          <w:bCs/>
          <w:color w:val="A67C1A"/>
          <w:sz w:val="21"/>
          <w:szCs w:val="21"/>
        </w:rPr>
        <w:t xml:space="preserve">2.</w:t>
      </w:r>
      <w:r>
        <w:t xml:space="preserve">	</w:t>
      </w:r>
      <w:r>
        <w:rPr>
          <w:sz w:val="21"/>
          <w:szCs w:val="21"/>
        </w:rPr>
        <w:t xml:space="preserve">Moses struck the rock and water still came out. Why is it dangerous to treat results as proof of God’s approval?</w:t>
      </w:r>
    </w:p>
    <w:p>
      <w:pPr>
        <w:keepNext/>
        <w:keepLines/>
        <w:tabs>
          <w:tab w:val="left" w:pos="360"/>
        </w:tabs>
        <w:spacing w:after="80" w:line="276"/>
        <w:ind w:left="360" w:hanging="360"/>
      </w:pPr>
      <w:r>
        <w:rPr>
          <w:b/>
          <w:bCs/>
          <w:color w:val="A67C1A"/>
          <w:sz w:val="21"/>
          <w:szCs w:val="21"/>
        </w:rPr>
        <w:t xml:space="preserve">3.</w:t>
      </w:r>
      <w:r>
        <w:t xml:space="preserve">	</w:t>
      </w:r>
      <w:r>
        <w:rPr>
          <w:sz w:val="21"/>
          <w:szCs w:val="21"/>
        </w:rPr>
        <w:t xml:space="preserve">What “new carts” (methods borrowed from the world) are common in ministry today?</w:t>
      </w:r>
    </w:p>
    <w:p>
      <w:pPr>
        <w:keepNext w:val="false"/>
        <w:keepLines/>
        <w:tabs>
          <w:tab w:val="left" w:pos="360"/>
        </w:tabs>
        <w:spacing w:after="80" w:line="276"/>
        <w:ind w:left="360" w:hanging="360"/>
      </w:pPr>
      <w:r>
        <w:rPr>
          <w:b/>
          <w:bCs/>
          <w:color w:val="A67C1A"/>
          <w:sz w:val="21"/>
          <w:szCs w:val="21"/>
        </w:rPr>
        <w:t xml:space="preserve">4.</w:t>
      </w:r>
      <w:r>
        <w:t xml:space="preserve">	</w:t>
      </w:r>
      <w:r>
        <w:rPr>
          <w:sz w:val="21"/>
          <w:szCs w:val="21"/>
        </w:rPr>
        <w:t xml:space="preserve">Where are you tempted to practise partial obedience?</w:t>
      </w:r>
    </w:p>
    <w:p>
      <w:pPr>
        <w:sectPr>
          <w:headerReference w:type="default" r:id="rId71"/>
          <w:headerReference w:type="first" r:id="rId72"/>
          <w:footerReference w:type="default" r:id="rId73"/>
          <w:footerReference w:type="first" r:id="rId74"/>
          <w:type w:val="nextPage"/>
          <w:pgSz w:w="8640" w:h="12960" w:orient="portrait"/>
          <w:pgMar w:top="1080" w:right="936" w:bottom="1008" w:left="1008" w:header="560" w:footer="520" w:gutter="0"/>
          <w:pgNumType w:fmt="decimal"/>
          <w:titlePg/>
          <w:docGrid w:linePitch="360"/>
        </w:sectPr>
      </w:pPr>
    </w:p>
    <w:p>
      <w:pPr>
        <w:spacing w:after="160" w:before="1300"/>
        <w:jc w:val="center"/>
      </w:pPr>
      <w:r>
        <w:rPr>
          <w:b/>
          <w:bCs/>
          <w:color w:val="A67C1A"/>
          <w:spacing w:val="60"/>
          <w:sz w:val="20"/>
          <w:szCs w:val="20"/>
        </w:rPr>
        <w:t xml:space="preserve">CHAPTER 11</w:t>
      </w:r>
    </w:p>
    <w:p>
      <w:pPr>
        <w:pStyle w:val="Heading1"/>
      </w:pPr>
      <w:bookmarkStart w:id="1085" w:name="toc_367"/>
      <w:r>
        <w:t xml:space="preserve">Isolation and Burnout: The Leader Who Carries Too Much</w:t>
      </w:r>
      <w:bookmarkEnd w:id="1085"/>
    </w:p>
    <w:p>
      <w:pPr>
        <w:spacing w:after="60" w:before="60" w:line="276"/>
        <w:ind w:left="720" w:right="720"/>
        <w:jc w:val="center"/>
      </w:pPr>
      <w:r>
        <w:rPr>
          <w:i/>
          <w:iCs/>
          <w:color w:val="555555"/>
          <w:sz w:val="21"/>
          <w:szCs w:val="21"/>
        </w:rPr>
        <w:t xml:space="preserve">The thing that thou doest is not good. Thou wilt surely wear away.</w:t>
      </w:r>
    </w:p>
    <w:p>
      <w:pPr>
        <w:spacing w:after="480"/>
        <w:jc w:val="center"/>
      </w:pPr>
      <w:r>
        <w:rPr>
          <w:color w:val="A67C1A"/>
          <w:sz w:val="19"/>
          <w:szCs w:val="19"/>
        </w:rPr>
        <w:t xml:space="preserve">— </w:t>
      </w:r>
      <w:r>
        <w:rPr>
          <w:smallCaps/>
          <w:color w:val="A67C1A"/>
          <w:sz w:val="19"/>
          <w:szCs w:val="19"/>
        </w:rPr>
        <w:t xml:space="preserve">Exodus 18:17–18</w:t>
      </w:r>
    </w:p>
    <w:p>
      <w:pPr>
        <w:pStyle w:val="BodyFirst"/>
      </w:pPr>
      <w:r>
        <w:t xml:space="preserve">Not every leadership pitfall is a moral failure in the obvious sense. Some leaders fall through exhaustion, loneliness and the slow erosion of physical, emotional and spiritual reserves. Burnout and isolation are real dangers, and they frequently open the door to more obvious sins. A depleted leader is a vulnerable leader.</w:t>
      </w:r>
    </w:p>
    <w:p>
      <w:pPr>
        <w:pStyle w:val="Heading2"/>
      </w:pPr>
      <w:r>
        <w:t xml:space="preserve">Moses and Jethro</w:t>
      </w:r>
    </w:p>
    <w:p>
      <w:pPr>
        <w:pStyle w:val="BodyFirst"/>
      </w:pPr>
      <w:r>
        <w:t xml:space="preserve">Exodus 18 records a remarkable conversation between Moses and his father-in-law Jethro. Jethro watched Moses sit from morning until evening judging every dispute among the people. His assessment was blunt: “The thing that thou doest is not good. Thou wilt surely wear away, both thou, and this people that is with thee: for this thing is too heavy for thee; thou art not able to perform it thyself alone” (Exod. 18:17–18).</w:t>
      </w:r>
    </w:p>
    <w:p>
      <w:pPr>
        <w:pStyle w:val="Body"/>
      </w:pPr>
      <w:r>
        <w:t xml:space="preserve">Notice that Jethro said the arrangement was harmful not only to Moses but to the people. A leader who does everything becomes a bottleneck; the people wait all day for decisions, and the leader wears away. Jethro’s counsel was to teach the people God’s statutes, select capable, God-fearing, trustworthy and incorruptible men, and appoint them over groups of thousands, hundreds, fifties and tens (18:21). Moses would handle only the great matters.</w:t>
      </w:r>
    </w:p>
    <w:p>
      <w:pPr>
        <w:pStyle w:val="Body"/>
      </w:pPr>
      <w:r>
        <w:t xml:space="preserve">Moses had the humility to listen, even though the advice came from a Midianite priest. Leaders who cannot receive counsel from unexpected sources rarely learn to delegate.</w:t>
      </w:r>
    </w:p>
    <w:p>
      <w:pPr>
        <w:pStyle w:val="Heading2"/>
      </w:pPr>
      <w:r>
        <w:t xml:space="preserve">Elijah Under the Juniper Tree</w:t>
      </w:r>
    </w:p>
    <w:p>
      <w:pPr>
        <w:pStyle w:val="BodyFirst"/>
      </w:pPr>
      <w:r>
        <w:t xml:space="preserve">Elijah’s collapse is one of the most human moments in Scripture. Immediately after the spectacular victory on Mount Carmel, Jezebel threatened his life, and Elijah fled into the wilderness. There he sat under a juniper tree and “requested for himself that he might die; and said, It is enough; now, O LORD, take away my life” (1 Kgs. 19:4). He later complained, “I, even I only, am left” (19:10).</w:t>
      </w:r>
    </w:p>
    <w:p>
      <w:pPr>
        <w:pStyle w:val="Body"/>
      </w:pPr>
      <w:r>
        <w:t xml:space="preserve">Several factors combined in Elijah’s collapse: physical exhaustion after an intense period of ministry, a direct threat, isolation (he left his servant behind at Beersheba), and a distorted perception that he alone remained faithful. God’s response is profoundly instructive. First, God let him sleep and sent an angel to feed him, twice (19:5–8). Physical restoration came before theological correction. Second, God met him not in wind, earthquake or fire but in “a still small voice” (19:12). Third, God corrected his perception: there were seven thousand in Israel who had not bowed to Baal (19:18). Fourth, God gave him a new assignment and a companion and successor in Elisha (19:16, 19–21). The answer to isolation was rest, God’s presence, truth and partnership.</w:t>
      </w:r>
    </w:p>
    <w:p>
      <w:pPr>
        <w:pStyle w:val="Heading2"/>
      </w:pPr>
      <w:r>
        <w:t xml:space="preserve">Jesus and the Rhythm of Withdrawal</w:t>
      </w:r>
    </w:p>
    <w:p>
      <w:pPr>
        <w:pStyle w:val="BodyFirst"/>
      </w:pPr>
      <w:r>
        <w:t xml:space="preserve">Jesus modelled a rhythm of engagement and withdrawal. Even as crowds pressed on him, “he withdrew himself into the wilderness, and prayed” (Luke 5:16). When his disciples returned from mission, he said to them, “Come ye yourselves apart into a desert place, and rest a while: for there were many coming and going, and they had no leisure so much as to eat” (Mark 6:31). The Son of God did not attempt to meet every need; he sought the Father’s will and rested when rest was needed.</w:t>
      </w:r>
    </w:p>
    <w:p>
      <w:pPr>
        <w:pStyle w:val="Heading2"/>
      </w:pPr>
      <w:r>
        <w:t xml:space="preserve">Paul’s Team</w:t>
      </w:r>
    </w:p>
    <w:p>
      <w:pPr>
        <w:pStyle w:val="BodyFirst"/>
      </w:pPr>
      <w:r>
        <w:t xml:space="preserve">Paul is often portrayed as a solitary hero, yet he almost always ministered in a team. His letters are filled with names of co-workers: Timothy, Titus, Silas, Luke, Priscilla and Aquila, Epaphroditus, Tychicus and many others. Romans 16 greets more than two dozen individuals. When Paul arrived in Troas and did not find Titus, he “had no rest in my spirit” (2 Cor. 2:13). When Titus finally arrived, “God, that comforteth those that are cast down, comforted us by the coming of Titus” (2 Cor. 7:6). Paul needed companionship, and he did not hide it.</w:t>
      </w:r>
    </w:p>
    <w:p>
      <w:pPr>
        <w:pStyle w:val="Heading2"/>
      </w:pPr>
      <w:r>
        <w:t xml:space="preserve">Spurgeon and the Minister’s Fainting Fits</w:t>
      </w:r>
    </w:p>
    <w:p>
      <w:pPr>
        <w:pStyle w:val="BodyFirst"/>
      </w:pPr>
      <w:r>
        <w:t xml:space="preserve">The celebrated Baptist preacher Charles Haddon Spurgeon, who preached to thousands weekly in nineteenth-century London, suffered repeated bouts of deep depression. He spoke openly of them to his students in a lecture titled “The Minister’s Fainting Fits,” observing that ministers are especially subject to seasons of great depression and that even the most useful servants of God may pass through them.</w:t>
      </w:r>
      <w:hyperlink w:anchor="note_11_1">
        <w:r>
          <w:rPr>
            <w:rFonts w:ascii="Times New Roman" w:cs="Times New Roman" w:eastAsia="Times New Roman" w:hAnsi="Times New Roman"/>
            <w:vertAlign w:val="superscript"/>
          </w:rPr>
          <w:t xml:space="preserve">1</w:t>
        </w:r>
      </w:hyperlink>
      <w:r>
        <w:t xml:space="preserve"> Spurgeon’s candour helped generations of pastors recognise that depression is not necessarily a sign of spiritual failure and that it must be met with rest, care and honesty rather than denial.</w:t>
      </w:r>
    </w:p>
    <w:p>
      <w:pPr>
        <w:pStyle w:val="Heading2"/>
      </w:pPr>
      <w:r>
        <w:t xml:space="preserve">Contemporary Implications</w:t>
      </w:r>
    </w:p>
    <w:p>
      <w:pPr>
        <w:pStyle w:val="BodyFirst"/>
      </w:pPr>
      <w:r>
        <w:t xml:space="preserve">Ministry burnout is widely recognised today. The Barna Group, a research organisation that surveys American church leaders, reported in 2022 that 42 per cent of the pastors it surveyed had given serious consideration to quitting full-time ministry within the previous year, and that stress, loneliness and division were the reasons most often given; two in five of those considering leaving said they felt lonely and isolated.</w:t>
      </w:r>
      <w:hyperlink w:anchor="note_11_2">
        <w:r>
          <w:rPr>
            <w:rFonts w:ascii="Times New Roman" w:cs="Times New Roman" w:eastAsia="Times New Roman" w:hAnsi="Times New Roman"/>
            <w:vertAlign w:val="superscript"/>
          </w:rPr>
          <w:t xml:space="preserve">2</w:t>
        </w:r>
      </w:hyperlink>
      <w:r>
        <w:t xml:space="preserve"> Some commonly repeated statistics about pastoral burnout have no reliable source, and leaders should be cautious about repeating them, but the reality of stress and exhaustion in ministry is well documented.</w:t>
      </w:r>
    </w:p>
    <w:p>
      <w:pPr>
        <w:pStyle w:val="Body"/>
      </w:pPr>
      <w:r>
        <w:t xml:space="preserve">In many African contexts, the pressures are intensified by the expectation that the pastor will be available at all hours for prayer, counselling, deliverance, funerals, weddings and family crises, often while managing a second job to support his household. The pastor may have no one to whom he can confess his own struggles without fear that his authority will be undermined.</w:t>
      </w:r>
    </w:p>
    <w:p>
      <w:pPr>
        <w:pStyle w:val="Body"/>
      </w:pPr>
      <w:r>
        <w:t xml:space="preserve">The biblical answer includes Sabbath rest, shared leadership, genuine friendship, honest confession, attention to physical health and the humility to accept that the leader is not the Saviour. As Eugene Peterson argued in </w:t>
      </w:r>
      <w:r>
        <w:rPr>
          <w:i/>
          <w:iCs/>
        </w:rPr>
        <w:t xml:space="preserve">Working the Angles</w:t>
      </w:r>
      <w:r>
        <w:t xml:space="preserve">, the pastor’s essential work of prayer, Scripture and spiritual direction is easily crowded out by the visible demands of running a religious organisation.</w:t>
      </w:r>
      <w:hyperlink w:anchor="note_11_3">
        <w:r>
          <w:rPr>
            <w:rFonts w:ascii="Times New Roman" w:cs="Times New Roman" w:eastAsia="Times New Roman" w:hAnsi="Times New Roman"/>
            <w:vertAlign w:val="superscript"/>
          </w:rPr>
          <w:t xml:space="preserve">3</w:t>
        </w:r>
      </w:hyperlink>
      <w:r>
        <w:t xml:space="preserve"> A leader who guards those angles guards his own soul and serves his people better.</w:t>
      </w:r>
    </w:p>
    <w:p>
      <w:pPr>
        <w:keepNext/>
        <w:pBdr>
          <w:top w:val="single" w:color="A67C1A" w:sz="6" w:space="8"/>
        </w:pBdr>
        <w:spacing w:after="120" w:before="360"/>
      </w:pPr>
      <w:r>
        <w:rPr>
          <w:b/>
          <w:bCs/>
          <w:smallCaps/>
          <w:color w:val="1F3864"/>
          <w:spacing w:val="20"/>
          <w:sz w:val="22"/>
          <w:szCs w:val="22"/>
        </w:rPr>
        <w:t xml:space="preserve">For Reflection and Discussion</w:t>
      </w:r>
    </w:p>
    <w:p>
      <w:pPr>
        <w:keepNext/>
        <w:keepLines/>
        <w:tabs>
          <w:tab w:val="left" w:pos="360"/>
        </w:tabs>
        <w:spacing w:after="80" w:line="276"/>
        <w:ind w:left="360" w:hanging="360"/>
      </w:pPr>
      <w:r>
        <w:rPr>
          <w:b/>
          <w:bCs/>
          <w:color w:val="A67C1A"/>
          <w:sz w:val="21"/>
          <w:szCs w:val="21"/>
        </w:rPr>
        <w:t xml:space="preserve">1.</w:t>
      </w:r>
      <w:r>
        <w:t xml:space="preserve">	</w:t>
      </w:r>
      <w:r>
        <w:rPr>
          <w:sz w:val="21"/>
          <w:szCs w:val="21"/>
        </w:rPr>
        <w:t xml:space="preserve">What did Jethro see in Moses’s pattern of work that Moses did not see himself?</w:t>
      </w:r>
    </w:p>
    <w:p>
      <w:pPr>
        <w:keepNext/>
        <w:keepLines/>
        <w:tabs>
          <w:tab w:val="left" w:pos="360"/>
        </w:tabs>
        <w:spacing w:after="80" w:line="276"/>
        <w:ind w:left="360" w:hanging="360"/>
      </w:pPr>
      <w:r>
        <w:rPr>
          <w:b/>
          <w:bCs/>
          <w:color w:val="A67C1A"/>
          <w:sz w:val="21"/>
          <w:szCs w:val="21"/>
        </w:rPr>
        <w:t xml:space="preserve">2.</w:t>
      </w:r>
      <w:r>
        <w:t xml:space="preserve">	</w:t>
      </w:r>
      <w:r>
        <w:rPr>
          <w:sz w:val="21"/>
          <w:szCs w:val="21"/>
        </w:rPr>
        <w:t xml:space="preserve">What factors combined in Elijah’s collapse, and how did God restore him?</w:t>
      </w:r>
    </w:p>
    <w:p>
      <w:pPr>
        <w:keepNext/>
        <w:keepLines/>
        <w:tabs>
          <w:tab w:val="left" w:pos="360"/>
        </w:tabs>
        <w:spacing w:after="80" w:line="276"/>
        <w:ind w:left="360" w:hanging="360"/>
      </w:pPr>
      <w:r>
        <w:rPr>
          <w:b/>
          <w:bCs/>
          <w:color w:val="A67C1A"/>
          <w:sz w:val="21"/>
          <w:szCs w:val="21"/>
        </w:rPr>
        <w:t xml:space="preserve">3.</w:t>
      </w:r>
      <w:r>
        <w:t xml:space="preserve">	</w:t>
      </w:r>
      <w:r>
        <w:rPr>
          <w:sz w:val="21"/>
          <w:szCs w:val="21"/>
        </w:rPr>
        <w:t xml:space="preserve">What rhythms of rest and withdrawal do you currently practise?</w:t>
      </w:r>
    </w:p>
    <w:p>
      <w:pPr>
        <w:keepNext w:val="false"/>
        <w:keepLines/>
        <w:tabs>
          <w:tab w:val="left" w:pos="360"/>
        </w:tabs>
        <w:spacing w:after="80" w:line="276"/>
        <w:ind w:left="360" w:hanging="360"/>
      </w:pPr>
      <w:r>
        <w:rPr>
          <w:b/>
          <w:bCs/>
          <w:color w:val="A67C1A"/>
          <w:sz w:val="21"/>
          <w:szCs w:val="21"/>
        </w:rPr>
        <w:t xml:space="preserve">4.</w:t>
      </w:r>
      <w:r>
        <w:t xml:space="preserve">	</w:t>
      </w:r>
      <w:r>
        <w:rPr>
          <w:sz w:val="21"/>
          <w:szCs w:val="21"/>
        </w:rPr>
        <w:t xml:space="preserve">Who are your genuine friends in ministry, people with whom you can be honest about your struggles?</w:t>
      </w:r>
    </w:p>
    <w:p>
      <w:pPr>
        <w:sectPr>
          <w:headerReference w:type="default" r:id="rId75"/>
          <w:headerReference w:type="first" r:id="rId76"/>
          <w:footerReference w:type="default" r:id="rId77"/>
          <w:footerReference w:type="first" r:id="rId78"/>
          <w:type w:val="nextPage"/>
          <w:pgSz w:w="8640" w:h="12960" w:orient="portrait"/>
          <w:pgMar w:top="1080" w:right="936" w:bottom="1008" w:left="1008" w:header="560" w:footer="520" w:gutter="0"/>
          <w:pgNumType w:fmt="decimal"/>
          <w:titlePg/>
          <w:docGrid w:linePitch="360"/>
        </w:sectPr>
      </w:pPr>
    </w:p>
    <w:p>
      <w:pPr>
        <w:spacing w:after="160" w:before="1300"/>
        <w:jc w:val="center"/>
      </w:pPr>
      <w:r>
        <w:rPr>
          <w:b/>
          <w:bCs/>
          <w:color w:val="A67C1A"/>
          <w:spacing w:val="60"/>
          <w:sz w:val="20"/>
          <w:szCs w:val="20"/>
        </w:rPr>
        <w:t xml:space="preserve">CHAPTER 12</w:t>
      </w:r>
    </w:p>
    <w:p>
      <w:pPr>
        <w:pStyle w:val="Heading1"/>
      </w:pPr>
      <w:bookmarkStart w:id="1086" w:name="toc_395"/>
      <w:r>
        <w:t xml:space="preserve">Neglect of Family and Failure of Succession</w:t>
      </w:r>
      <w:bookmarkEnd w:id="1086"/>
    </w:p>
    <w:p>
      <w:pPr>
        <w:spacing w:after="60" w:before="60" w:line="276"/>
        <w:ind w:left="720" w:right="720"/>
        <w:jc w:val="center"/>
      </w:pPr>
      <w:r>
        <w:rPr>
          <w:i/>
          <w:iCs/>
          <w:color w:val="555555"/>
          <w:sz w:val="21"/>
          <w:szCs w:val="21"/>
        </w:rPr>
        <w:t xml:space="preserve">And there arose another generation after them, which knew not the LORD.</w:t>
      </w:r>
    </w:p>
    <w:p>
      <w:pPr>
        <w:spacing w:after="480"/>
        <w:jc w:val="center"/>
      </w:pPr>
      <w:r>
        <w:rPr>
          <w:color w:val="A67C1A"/>
          <w:sz w:val="19"/>
          <w:szCs w:val="19"/>
        </w:rPr>
        <w:t xml:space="preserve">— </w:t>
      </w:r>
      <w:r>
        <w:rPr>
          <w:smallCaps/>
          <w:color w:val="A67C1A"/>
          <w:sz w:val="19"/>
          <w:szCs w:val="19"/>
        </w:rPr>
        <w:t xml:space="preserve">Judges 2:10</w:t>
      </w:r>
    </w:p>
    <w:p>
      <w:pPr>
        <w:pStyle w:val="BodyFirst"/>
      </w:pPr>
      <w:r>
        <w:t xml:space="preserve">A leader’s work is not complete when he has succeeded in his own generation. The test of his leadership is whether faith and faithfulness survive him, both in his own household and in the institution he leads. Scripture records painful instances of leaders who served others faithfully but failed their own families, and of generations that failed to pass on the faith to their successors.</w:t>
      </w:r>
    </w:p>
    <w:p>
      <w:pPr>
        <w:pStyle w:val="Heading2"/>
      </w:pPr>
      <w:r>
        <w:t xml:space="preserve">Eli: Honouring Sons Above God</w:t>
      </w:r>
    </w:p>
    <w:p>
      <w:pPr>
        <w:pStyle w:val="BodyFirst"/>
      </w:pPr>
      <w:r>
        <w:t xml:space="preserve">Eli was a priest and judge in Israel for forty years. Yet his sons, Hophni and Phinehas, were “sons of Belial; they knew not the LORD” (1 Sam. 2:12). They abused the sacrifices and “lay with the women that assembled at the door of the tabernacle” (2:22). Eli heard of their behaviour and rebuked them mildly: “Why do ye such things?… Nay, my sons; for it is no good report that I hear” (2:23–24). But he did not remove them from office.</w:t>
      </w:r>
    </w:p>
    <w:p>
      <w:pPr>
        <w:pStyle w:val="Body"/>
      </w:pPr>
      <w:r>
        <w:t xml:space="preserve">God’s charge against Eli is direct: “Wherefore… honourest thy sons above me, to make yourselves fat with the chiefest of all the offerings of Israel my people?” (2:29). Later God declared that Eli’s house would be judged “because his sons made themselves vile, and he restrained them not” (3:13). Eli’s failure was not simply parental; it was a failure of leadership. He allowed family loyalty to override his responsibility to God and the congregation.</w:t>
      </w:r>
    </w:p>
    <w:p>
      <w:pPr>
        <w:pStyle w:val="Heading2"/>
      </w:pPr>
      <w:r>
        <w:t xml:space="preserve">Samuel: The Pattern Repeated</w:t>
      </w:r>
    </w:p>
    <w:p>
      <w:pPr>
        <w:pStyle w:val="BodyFirst"/>
      </w:pPr>
      <w:r>
        <w:t xml:space="preserve">The tragedy deepens when we find that Samuel, who grew up watching Eli’s failure, repeated it. “When Samuel was old… he made his sons judges over Israel… And his sons walked not in his ways, but turned aside after lucre, and took bribes, and perverted judgment” (1 Sam. 8:1–3). Samuel himself was a man of spotless integrity (12:3–5), yet he appointed his sons to positions they were not fit to hold. The elders of Israel used their corruption as the reason to demand a king. Dynastic appointment of unqualified family members is an ancient pitfall.</w:t>
      </w:r>
    </w:p>
    <w:p>
      <w:pPr>
        <w:pStyle w:val="Heading2"/>
      </w:pPr>
      <w:r>
        <w:t xml:space="preserve">David: The Indulgent Father</w:t>
      </w:r>
    </w:p>
    <w:p>
      <w:pPr>
        <w:pStyle w:val="BodyFirst"/>
      </w:pPr>
      <w:r>
        <w:t xml:space="preserve">David, the man after God’s heart, was a tragically passive father. When Amnon raped his half-sister Tamar, “king David heard of all these things, he was very wroth” (2 Sam. 13:21), but he did nothing. Absalom, Tamar’s brother, waited two years and then murdered Amnon. David’s later handling of Absalom oscillated between banishment and indulgence, until Absalom stole the hearts of the people and led a rebellion. Of David’s son Adonijah, the text makes a remarkable comment: “his father had not displeased him at any time in saying, Why hast thou done so?” (1 Kgs. 1:6). David, who could confront a giant and lead armies, could not bring himself to correct his sons.</w:t>
      </w:r>
    </w:p>
    <w:p>
      <w:pPr>
        <w:pStyle w:val="Heading2"/>
      </w:pPr>
      <w:r>
        <w:t xml:space="preserve">Hezekiah: Peace in My Days</w:t>
      </w:r>
    </w:p>
    <w:p>
      <w:pPr>
        <w:pStyle w:val="BodyFirst"/>
      </w:pPr>
      <w:r>
        <w:t xml:space="preserve">When Isaiah prophesied that Hezekiah’s treasures and some of his descendants would one day be carried to Babylon, Hezekiah replied, “Good is the word of the LORD which thou hast spoken… Is it not good, if peace and truth be in my days?” (2 Kgs. 20:19). His response reveals a leader content with his own generation’s comfort and indifferent to the next. His son Manasseh became the most wicked king in Judah’s history.</w:t>
      </w:r>
    </w:p>
    <w:p>
      <w:pPr>
        <w:pStyle w:val="Heading2"/>
      </w:pPr>
      <w:r>
        <w:t xml:space="preserve">Judges 2: The Generation That Knew Not the Lord</w:t>
      </w:r>
    </w:p>
    <w:p>
      <w:pPr>
        <w:pStyle w:val="BodyFirst"/>
      </w:pPr>
      <w:r>
        <w:t xml:space="preserve">After Joshua’s death, “all that generation were gathered unto their fathers: and there arose another generation after them, which knew not the LORD, nor yet the works which he had done for Israel” (Judg. 2:10). Within a single generation, the faith of the conquest had been lost. The book of Judges records the consequences: cycles of apostasy, oppression and temporary deliverance. Leaders who experienced God’s mighty works failed to pass them on.</w:t>
      </w:r>
    </w:p>
    <w:p>
      <w:pPr>
        <w:pStyle w:val="Heading2"/>
      </w:pPr>
      <w:r>
        <w:t xml:space="preserve">Positive Models of Succession</w:t>
      </w:r>
    </w:p>
    <w:p>
      <w:pPr>
        <w:pStyle w:val="BodyFirst"/>
      </w:pPr>
      <w:r>
        <w:t xml:space="preserve">Scripture also provides positive models. Moses invested in Joshua for decades, taking him up the mountain (Exod. 24:13), leaving him at the tent of meeting (33:11) and publicly commissioning him (Num. 27:18–23; Deut. 31:7–8). Elijah called Elisha and allowed him to follow him closely, so that when Elijah was taken up, Elisha received a double portion of his spirit (2 Kgs. 2:9–15). Paul poured himself into Timothy, calling him “my own son in the faith” (1 Tim. 1:2), and instructed him to pass on the gospel to “faithful men, who shall be able to teach others also” (2 Tim. 2:2). That verse describes four generations of leaders: Paul, Timothy, faithful men, and others.</w:t>
      </w:r>
    </w:p>
    <w:p>
      <w:pPr>
        <w:pStyle w:val="Body"/>
      </w:pPr>
      <w:r>
        <w:t xml:space="preserve">Paul also made the leader’s household a test of fitness for leadership: “For if a man know not how to rule his own house, how shall he take care of the church of God?” (1 Tim. 3:5). The family is the first congregation.</w:t>
      </w:r>
    </w:p>
    <w:p>
      <w:pPr>
        <w:pStyle w:val="Heading2"/>
      </w:pPr>
      <w:r>
        <w:t xml:space="preserve">Contemporary Implications</w:t>
      </w:r>
    </w:p>
    <w:p>
      <w:pPr>
        <w:pStyle w:val="BodyFirst"/>
      </w:pPr>
      <w:r>
        <w:t xml:space="preserve">The pitfalls of family neglect and failed succession are widespread in contemporary ministry. Many ministers’ children grow up resentful of a church that consumed their parents’ time and attention. Many ministries founded by charismatic individuals collapse or fracture at the founder’s death because no successor was prepared or because succession was handed to family members on the basis of blood rather than calling and character. The leader who builds a great ministry but loses his own children, or whose work dies with him, has not finished well.</w:t>
      </w:r>
    </w:p>
    <w:p>
      <w:pPr>
        <w:pStyle w:val="Body"/>
      </w:pPr>
      <w:r>
        <w:t xml:space="preserve">Wise leaders prioritise their families, prepare successors deliberately, submit succession decisions to proper structures and are willing to release authority while they are still alive and healthy.</w:t>
      </w:r>
    </w:p>
    <w:p>
      <w:pPr>
        <w:keepNext/>
        <w:pBdr>
          <w:top w:val="single" w:color="A67C1A" w:sz="6" w:space="8"/>
        </w:pBdr>
        <w:spacing w:after="120" w:before="360"/>
      </w:pPr>
      <w:r>
        <w:rPr>
          <w:b/>
          <w:bCs/>
          <w:smallCaps/>
          <w:color w:val="1F3864"/>
          <w:spacing w:val="20"/>
          <w:sz w:val="22"/>
          <w:szCs w:val="22"/>
        </w:rPr>
        <w:t xml:space="preserve">For Reflection and Discussion</w:t>
      </w:r>
    </w:p>
    <w:p>
      <w:pPr>
        <w:keepNext/>
        <w:keepLines/>
        <w:tabs>
          <w:tab w:val="left" w:pos="360"/>
        </w:tabs>
        <w:spacing w:after="80" w:line="276"/>
        <w:ind w:left="360" w:hanging="360"/>
      </w:pPr>
      <w:r>
        <w:rPr>
          <w:b/>
          <w:bCs/>
          <w:color w:val="A67C1A"/>
          <w:sz w:val="21"/>
          <w:szCs w:val="21"/>
        </w:rPr>
        <w:t xml:space="preserve">1.</w:t>
      </w:r>
      <w:r>
        <w:t xml:space="preserve">	</w:t>
      </w:r>
      <w:r>
        <w:rPr>
          <w:sz w:val="21"/>
          <w:szCs w:val="21"/>
        </w:rPr>
        <w:t xml:space="preserve">Why did Eli fail to restrain his sons, and why did Samuel repeat the pattern?</w:t>
      </w:r>
    </w:p>
    <w:p>
      <w:pPr>
        <w:keepNext/>
        <w:keepLines/>
        <w:tabs>
          <w:tab w:val="left" w:pos="360"/>
        </w:tabs>
        <w:spacing w:after="80" w:line="276"/>
        <w:ind w:left="360" w:hanging="360"/>
      </w:pPr>
      <w:r>
        <w:rPr>
          <w:b/>
          <w:bCs/>
          <w:color w:val="A67C1A"/>
          <w:sz w:val="21"/>
          <w:szCs w:val="21"/>
        </w:rPr>
        <w:t xml:space="preserve">2.</w:t>
      </w:r>
      <w:r>
        <w:t xml:space="preserve">	</w:t>
      </w:r>
      <w:r>
        <w:rPr>
          <w:sz w:val="21"/>
          <w:szCs w:val="21"/>
        </w:rPr>
        <w:t xml:space="preserve">How can ministers protect their children from resentment towards the church?</w:t>
      </w:r>
    </w:p>
    <w:p>
      <w:pPr>
        <w:keepNext/>
        <w:keepLines/>
        <w:tabs>
          <w:tab w:val="left" w:pos="360"/>
        </w:tabs>
        <w:spacing w:after="80" w:line="276"/>
        <w:ind w:left="360" w:hanging="360"/>
      </w:pPr>
      <w:r>
        <w:rPr>
          <w:b/>
          <w:bCs/>
          <w:color w:val="A67C1A"/>
          <w:sz w:val="21"/>
          <w:szCs w:val="21"/>
        </w:rPr>
        <w:t xml:space="preserve">3.</w:t>
      </w:r>
      <w:r>
        <w:t xml:space="preserve">	</w:t>
      </w:r>
      <w:r>
        <w:rPr>
          <w:sz w:val="21"/>
          <w:szCs w:val="21"/>
        </w:rPr>
        <w:t xml:space="preserve">What is the difference between succession by calling and succession by kinship?</w:t>
      </w:r>
    </w:p>
    <w:p>
      <w:pPr>
        <w:keepNext w:val="false"/>
        <w:keepLines/>
        <w:tabs>
          <w:tab w:val="left" w:pos="360"/>
        </w:tabs>
        <w:spacing w:after="80" w:line="276"/>
        <w:ind w:left="360" w:hanging="360"/>
      </w:pPr>
      <w:r>
        <w:rPr>
          <w:b/>
          <w:bCs/>
          <w:color w:val="A67C1A"/>
          <w:sz w:val="21"/>
          <w:szCs w:val="21"/>
        </w:rPr>
        <w:t xml:space="preserve">4.</w:t>
      </w:r>
      <w:r>
        <w:t xml:space="preserve">	</w:t>
      </w:r>
      <w:r>
        <w:rPr>
          <w:sz w:val="21"/>
          <w:szCs w:val="21"/>
        </w:rPr>
        <w:t xml:space="preserve">If you had to step down tomorrow, who would be ready to continue the work?</w:t>
      </w:r>
    </w:p>
    <w:p>
      <w:pPr>
        <w:sectPr>
          <w:headerReference w:type="default" r:id="rId79"/>
          <w:headerReference w:type="first" r:id="rId80"/>
          <w:footerReference w:type="default" r:id="rId81"/>
          <w:footerReference w:type="first" r:id="rId82"/>
          <w:type w:val="nextPage"/>
          <w:pgSz w:w="8640" w:h="12960" w:orient="portrait"/>
          <w:pgMar w:top="1080" w:right="936" w:bottom="1008" w:left="1008" w:header="560" w:footer="520" w:gutter="0"/>
          <w:pgNumType w:fmt="decimal"/>
          <w:titlePg/>
          <w:docGrid w:linePitch="360"/>
        </w:sectPr>
      </w:pPr>
    </w:p>
    <w:p>
      <w:pPr>
        <w:spacing w:after="160" w:before="1300"/>
        <w:jc w:val="center"/>
      </w:pPr>
      <w:r>
        <w:rPr>
          <w:b/>
          <w:bCs/>
          <w:color w:val="A67C1A"/>
          <w:spacing w:val="60"/>
          <w:sz w:val="20"/>
          <w:szCs w:val="20"/>
        </w:rPr>
        <w:t xml:space="preserve">CHAPTER 13</w:t>
      </w:r>
    </w:p>
    <w:p>
      <w:pPr>
        <w:pStyle w:val="Heading1"/>
      </w:pPr>
      <w:bookmarkStart w:id="1087" w:name="toc_423"/>
      <w:r>
        <w:t xml:space="preserve">Finishing Badly: Drift, Compromise and Self-Reliance</w:t>
      </w:r>
      <w:bookmarkEnd w:id="1087"/>
    </w:p>
    <w:p>
      <w:pPr>
        <w:spacing w:after="60" w:before="60" w:line="276"/>
        <w:ind w:left="720" w:right="720"/>
        <w:jc w:val="center"/>
      </w:pPr>
      <w:r>
        <w:rPr>
          <w:i/>
          <w:iCs/>
          <w:color w:val="555555"/>
          <w:sz w:val="21"/>
          <w:szCs w:val="21"/>
        </w:rPr>
        <w:t xml:space="preserve">For Demas hath forsaken me, having loved this present world.</w:t>
      </w:r>
    </w:p>
    <w:p>
      <w:pPr>
        <w:spacing w:after="480"/>
        <w:jc w:val="center"/>
      </w:pPr>
      <w:r>
        <w:rPr>
          <w:color w:val="A67C1A"/>
          <w:sz w:val="19"/>
          <w:szCs w:val="19"/>
        </w:rPr>
        <w:t xml:space="preserve">— </w:t>
      </w:r>
      <w:r>
        <w:rPr>
          <w:smallCaps/>
          <w:color w:val="A67C1A"/>
          <w:sz w:val="19"/>
          <w:szCs w:val="19"/>
        </w:rPr>
        <w:t xml:space="preserve">2 Timothy 4:10</w:t>
      </w:r>
    </w:p>
    <w:p>
      <w:pPr>
        <w:pStyle w:val="BodyFirst"/>
      </w:pPr>
      <w:r>
        <w:t xml:space="preserve">The final biblical pitfall is the tragedy of the leader who begins well and ends badly. It is not a single sin but the cumulative effect of slow drift, gradual compromise and growing self-reliance. It is especially sobering because it often comes in the later years, when a leader might assume the dangers of youth are behind him.</w:t>
      </w:r>
    </w:p>
    <w:p>
      <w:pPr>
        <w:pStyle w:val="Heading2"/>
      </w:pPr>
      <w:r>
        <w:t xml:space="preserve">Asa: Trusting Physicians and Kings</w:t>
      </w:r>
    </w:p>
    <w:p>
      <w:pPr>
        <w:pStyle w:val="BodyFirst"/>
      </w:pPr>
      <w:r>
        <w:t xml:space="preserve">Asa, king of Judah, began with vigorous reform. He removed idols, deposed his idolatrous grandmother from her position as queen mother, and cried to the LORD before battle: “LORD, it is nothing with thee to help, whether with many, or with them that have no power: help us, O LORD our God; for we rest on thee” (2 Chr. 14:11). God gave him a great victory.</w:t>
      </w:r>
    </w:p>
    <w:p>
      <w:pPr>
        <w:pStyle w:val="Body"/>
      </w:pPr>
      <w:r>
        <w:t xml:space="preserve">Yet late in his reign, facing a threat from Israel, Asa took silver and gold from the temple treasury and paid the king of Syria to help him (2 Chr. 16:1–3). The prophet Hanani rebuked him: “Because thou hast relied on the king of Syria, and not relied on the LORD thy God… For the eyes of the LORD run to and fro throughout the whole earth, to shew himself strong in the behalf of them whose heart is perfect toward him” (16:7, 9). Asa’s response was to imprison the prophet and oppress the people. When disease struck his feet, “in his disease he sought not to the LORD, but to the physicians” (16:12). The contrast between the young Asa who “rested on” God and the old Asa who relied on foreign kings and human resources alone is heartbreaking.</w:t>
      </w:r>
    </w:p>
    <w:p>
      <w:pPr>
        <w:pStyle w:val="Heading2"/>
      </w:pPr>
      <w:r>
        <w:t xml:space="preserve">Joash: Faithful While His Mentor Lived</w:t>
      </w:r>
    </w:p>
    <w:p>
      <w:pPr>
        <w:pStyle w:val="BodyFirst"/>
      </w:pPr>
      <w:r>
        <w:t xml:space="preserve">Joash became king at seven under the protection of Jehoiada the priest. “Joash did that which was right in the sight of the LORD all the days of Jehoiada the priest” (2 Chr. 24:2). He repaired the temple and restored worship. But when Jehoiada died, the princes of Judah came and flattered the king, and “then the king hearkened unto them” (24:17). Joash turned to idols, and when Jehoiada’s son Zechariah rebuked him, Joash had him stoned in the temple court (24:21). The Chronicler notes pointedly that “Joash the king remembered not the kindness which Jehoiada his father had done to him” (24:22).</w:t>
      </w:r>
    </w:p>
    <w:p>
      <w:pPr>
        <w:pStyle w:val="Body"/>
      </w:pPr>
      <w:r>
        <w:t xml:space="preserve">Joash’s faith was borrowed. It rested on his mentor rather than on his own relationship with God. When the external support was removed, the internal foundation was found wanting. Many leaders who flourished under a strong spiritual father have drifted after that father’s death.</w:t>
      </w:r>
    </w:p>
    <w:p>
      <w:pPr>
        <w:pStyle w:val="Heading2"/>
      </w:pPr>
      <w:r>
        <w:t xml:space="preserve">Solomon Revisited</w:t>
      </w:r>
    </w:p>
    <w:p>
      <w:pPr>
        <w:pStyle w:val="BodyFirst"/>
      </w:pPr>
      <w:r>
        <w:t xml:space="preserve">Solomon’s life is the classic case of a leader who finished badly. The one who prayed for wisdom at Gibeon and dedicated the temple with a magnificent prayer ended his life worshipping Ashtoreth and Milcom (1 Kgs. 11:5). The text says that “his heart was not perfect with the LORD his God, as was the heart of David his father” (11:4). His decline was gradual. His marriages, his accumulation of horses and gold, and his heavy burdens on the people all violated the law of the king in Deuteronomy 17, yet each step was probably justified at the time as prudent statecraft.</w:t>
      </w:r>
    </w:p>
    <w:p>
      <w:pPr>
        <w:pStyle w:val="Heading2"/>
      </w:pPr>
      <w:r>
        <w:t xml:space="preserve">Demas: The Companion Who Left</w:t>
      </w:r>
    </w:p>
    <w:p>
      <w:pPr>
        <w:pStyle w:val="BodyFirst"/>
      </w:pPr>
      <w:r>
        <w:t xml:space="preserve">Demas appears three times in Paul’s letters. In Colossians and Philemon he is listed as a fellow worker alongside Luke (Col. 4:14; Phlm. 24). By 2 Timothy, written near the end of Paul’s life, a single sad sentence records his departure: “For Demas hath forsaken me, having loved this present world” (2 Tim. 4:10). Demas was not a heretic or a persecutor. He was a trusted co-worker who, at some point, found the world more attractive than the costly path of apostolic ministry.</w:t>
      </w:r>
    </w:p>
    <w:p>
      <w:pPr>
        <w:pStyle w:val="Heading2"/>
      </w:pPr>
      <w:r>
        <w:t xml:space="preserve">Paul: The Leader Who Finished</w:t>
      </w:r>
    </w:p>
    <w:p>
      <w:pPr>
        <w:pStyle w:val="BodyFirst"/>
      </w:pPr>
      <w:r>
        <w:t xml:space="preserve">By contrast, Paul’s last letter is a testimony to finishing well: “For I am now ready to be offered, and the time of my departure is at hand. I have fought a good fight, I have finished my course, I have kept the faith” (2 Tim. 4:6–7). Paul had long been aware of the danger of disqualification: “But I keep under my body, and bring it into subjection: lest that by any means, when I have preached to others, I myself should be a castaway” (1 Cor. 9:27). His vigilance did not relax with age.</w:t>
      </w:r>
    </w:p>
    <w:p>
      <w:pPr>
        <w:pStyle w:val="Body"/>
      </w:pPr>
      <w:r>
        <w:t xml:space="preserve">Samuel’s farewell speech provides another model. At the end of his public ministry he stood before Israel and asked, “Whose ox have I taken? or whose ass have I taken? or whom have I defrauded? whom have I oppressed?” The people answered, “Thou hast not defrauded us, nor oppressed us” (1 Sam. 12:3–4). Whatever his failures as a father, Samuel ended his public career with an unblemished record of integrity.</w:t>
      </w:r>
    </w:p>
    <w:p>
      <w:pPr>
        <w:pStyle w:val="Heading2"/>
      </w:pPr>
      <w:r>
        <w:t xml:space="preserve">Contemporary Implications</w:t>
      </w:r>
    </w:p>
    <w:p>
      <w:pPr>
        <w:pStyle w:val="BodyFirst"/>
      </w:pPr>
      <w:r>
        <w:t xml:space="preserve">Finishing well requires vigilance at every stage of life. Late-career leaders face particular temptations: the sense that they have earned privileges, weariness with accountability, the desire to secure their legacy or their family’s future, reluctance to relinquish power, and a faith that has become routine. Many leaders who withstood the fierce temptations of youth have fallen in their fifties and sixties.</w:t>
      </w:r>
    </w:p>
    <w:p>
      <w:pPr>
        <w:pStyle w:val="Body"/>
      </w:pPr>
      <w:r>
        <w:t xml:space="preserve">Leaders who finish well tend to share several traits identified by students of leadership: a lifelong habit of learning, a personal and vibrant relationship with God, a repeated renewal of their sense of calling, accountable relationships, and a focus on building people rather than monuments. The goal of every leader should be to arrive at the end of the race able to say with Paul, “I have finished my course.”</w:t>
      </w:r>
    </w:p>
    <w:p>
      <w:pPr>
        <w:keepNext/>
        <w:pBdr>
          <w:top w:val="single" w:color="A67C1A" w:sz="6" w:space="8"/>
        </w:pBdr>
        <w:spacing w:after="120" w:before="360"/>
      </w:pPr>
      <w:r>
        <w:rPr>
          <w:b/>
          <w:bCs/>
          <w:smallCaps/>
          <w:color w:val="1F3864"/>
          <w:spacing w:val="20"/>
          <w:sz w:val="22"/>
          <w:szCs w:val="22"/>
        </w:rPr>
        <w:t xml:space="preserve">For Reflection and Discussion</w:t>
      </w:r>
    </w:p>
    <w:p>
      <w:pPr>
        <w:keepNext/>
        <w:keepLines/>
        <w:tabs>
          <w:tab w:val="left" w:pos="360"/>
        </w:tabs>
        <w:spacing w:after="80" w:line="276"/>
        <w:ind w:left="360" w:hanging="360"/>
      </w:pPr>
      <w:r>
        <w:rPr>
          <w:b/>
          <w:bCs/>
          <w:color w:val="A67C1A"/>
          <w:sz w:val="21"/>
          <w:szCs w:val="21"/>
        </w:rPr>
        <w:t xml:space="preserve">1.</w:t>
      </w:r>
      <w:r>
        <w:t xml:space="preserve">	</w:t>
      </w:r>
      <w:r>
        <w:rPr>
          <w:sz w:val="21"/>
          <w:szCs w:val="21"/>
        </w:rPr>
        <w:t xml:space="preserve">Compare the young Asa of 2 Chronicles 14 with the old Asa of 2 Chronicles 16. What changed?</w:t>
      </w:r>
    </w:p>
    <w:p>
      <w:pPr>
        <w:keepNext/>
        <w:keepLines/>
        <w:tabs>
          <w:tab w:val="left" w:pos="360"/>
        </w:tabs>
        <w:spacing w:after="80" w:line="276"/>
        <w:ind w:left="360" w:hanging="360"/>
      </w:pPr>
      <w:r>
        <w:rPr>
          <w:b/>
          <w:bCs/>
          <w:color w:val="A67C1A"/>
          <w:sz w:val="21"/>
          <w:szCs w:val="21"/>
        </w:rPr>
        <w:t xml:space="preserve">2.</w:t>
      </w:r>
      <w:r>
        <w:t xml:space="preserve">	</w:t>
      </w:r>
      <w:r>
        <w:rPr>
          <w:sz w:val="21"/>
          <w:szCs w:val="21"/>
        </w:rPr>
        <w:t xml:space="preserve">Joash was faithful while Jehoiada lived. How can a leader make sure his faith is his own rather than borrowed?</w:t>
      </w:r>
    </w:p>
    <w:p>
      <w:pPr>
        <w:keepNext/>
        <w:keepLines/>
        <w:tabs>
          <w:tab w:val="left" w:pos="360"/>
        </w:tabs>
        <w:spacing w:after="80" w:line="276"/>
        <w:ind w:left="360" w:hanging="360"/>
      </w:pPr>
      <w:r>
        <w:rPr>
          <w:b/>
          <w:bCs/>
          <w:color w:val="A67C1A"/>
          <w:sz w:val="21"/>
          <w:szCs w:val="21"/>
        </w:rPr>
        <w:t xml:space="preserve">3.</w:t>
      </w:r>
      <w:r>
        <w:t xml:space="preserve">	</w:t>
      </w:r>
      <w:r>
        <w:rPr>
          <w:sz w:val="21"/>
          <w:szCs w:val="21"/>
        </w:rPr>
        <w:t xml:space="preserve">What particular temptations face leaders in the later years of ministry?</w:t>
      </w:r>
    </w:p>
    <w:p>
      <w:pPr>
        <w:keepNext w:val="false"/>
        <w:keepLines/>
        <w:tabs>
          <w:tab w:val="left" w:pos="360"/>
        </w:tabs>
        <w:spacing w:after="80" w:line="276"/>
        <w:ind w:left="360" w:hanging="360"/>
      </w:pPr>
      <w:r>
        <w:rPr>
          <w:b/>
          <w:bCs/>
          <w:color w:val="A67C1A"/>
          <w:sz w:val="21"/>
          <w:szCs w:val="21"/>
        </w:rPr>
        <w:t xml:space="preserve">4.</w:t>
      </w:r>
      <w:r>
        <w:t xml:space="preserve">	</w:t>
      </w:r>
      <w:r>
        <w:rPr>
          <w:sz w:val="21"/>
          <w:szCs w:val="21"/>
        </w:rPr>
        <w:t xml:space="preserve">What do you hope people will be able to say of you at the end, as Israel said of Samuel?</w:t>
      </w:r>
    </w:p>
    <w:p>
      <w:pPr>
        <w:sectPr>
          <w:headerReference w:type="default" r:id="rId83"/>
          <w:headerReference w:type="first" r:id="rId84"/>
          <w:footerReference w:type="default" r:id="rId85"/>
          <w:footerReference w:type="first" r:id="rId86"/>
          <w:type w:val="nextPage"/>
          <w:pgSz w:w="8640" w:h="12960" w:orient="portrait"/>
          <w:pgMar w:top="1080" w:right="936" w:bottom="1008" w:left="1008" w:header="560" w:footer="520" w:gutter="0"/>
          <w:pgNumType w:fmt="decimal"/>
          <w:titlePg/>
          <w:docGrid w:linePitch="360"/>
        </w:sectPr>
      </w:pPr>
    </w:p>
    <w:p>
      <w:pPr>
        <w:spacing w:after="240"/>
        <w:jc w:val="center"/>
      </w:pPr>
      <w:r>
        <w:rPr>
          <w:b/>
          <w:bCs/>
          <w:color w:val="A67C1A"/>
          <w:spacing w:val="120"/>
          <w:sz w:val="24"/>
          <w:szCs w:val="24"/>
        </w:rPr>
        <w:t xml:space="preserve">PART THREE</w:t>
      </w:r>
    </w:p>
    <w:p>
      <w:pPr>
        <w:spacing w:after="120"/>
        <w:jc w:val="center"/>
      </w:pPr>
      <w:r>
        <w:rPr>
          <w:color w:val="1F3864"/>
          <w:sz w:val="52"/>
          <w:szCs w:val="52"/>
        </w:rPr>
        <w:t xml:space="preserve">Witnesses Across the Centuries</w:t>
      </w:r>
    </w:p>
    <w:p>
      <w:pPr>
        <w:pBdr>
          <w:bottom w:val="single" w:color="A67C1A" w:sz="8" w:space="1"/>
        </w:pBdr>
        <w:spacing w:after="240" w:before="120"/>
        <w:ind w:left="2648" w:right="2648"/>
        <w:jc w:val="center"/>
      </w:pPr>
    </w:p>
    <w:p>
      <w:pPr>
        <w:ind w:left="720" w:right="720"/>
        <w:jc w:val="center"/>
      </w:pPr>
      <w:r>
        <w:rPr>
          <w:i/>
          <w:iCs/>
          <w:color w:val="555555"/>
          <w:sz w:val="23"/>
          <w:szCs w:val="23"/>
        </w:rPr>
        <w:t xml:space="preserve">The early Church, contemporary leaders, and the African context</w:t>
      </w:r>
    </w:p>
    <w:p>
      <w:pPr>
        <w:sectPr>
          <w:headerReference w:type="default" r:id="rId87"/>
          <w:headerReference w:type="first" r:id="rId88"/>
          <w:footerReference w:type="default" r:id="rId89"/>
          <w:footerReference w:type="first" r:id="rId90"/>
          <w:type w:val="nextPage"/>
          <w:pgSz w:w="8640" w:h="12960" w:orient="portrait"/>
          <w:pgMar w:top="1080" w:right="936" w:bottom="1008" w:left="1008" w:header="560" w:footer="520" w:gutter="0"/>
          <w:pgNumType w:fmt="decimal"/>
          <w:vAlign w:val="center"/>
          <w:titlePg/>
          <w:docGrid w:linePitch="360"/>
        </w:sectPr>
      </w:pPr>
    </w:p>
    <w:p>
      <w:pPr>
        <w:spacing w:after="160" w:before="1300"/>
        <w:jc w:val="center"/>
      </w:pPr>
      <w:r>
        <w:rPr>
          <w:b/>
          <w:bCs/>
          <w:color w:val="A67C1A"/>
          <w:spacing w:val="60"/>
          <w:sz w:val="20"/>
          <w:szCs w:val="20"/>
        </w:rPr>
        <w:t xml:space="preserve">CHAPTER 14</w:t>
      </w:r>
    </w:p>
    <w:p>
      <w:pPr>
        <w:pStyle w:val="Heading1"/>
      </w:pPr>
      <w:bookmarkStart w:id="1088" w:name="toc_455"/>
      <w:r>
        <w:t xml:space="preserve">The Early Church Fathers on the Perils of Office</w:t>
      </w:r>
      <w:bookmarkEnd w:id="1088"/>
    </w:p>
    <w:p>
      <w:pPr>
        <w:spacing w:after="60" w:before="60" w:line="276"/>
        <w:ind w:left="720" w:right="720"/>
        <w:jc w:val="center"/>
      </w:pPr>
      <w:r>
        <w:rPr>
          <w:i/>
          <w:iCs/>
          <w:color w:val="555555"/>
          <w:sz w:val="21"/>
          <w:szCs w:val="21"/>
        </w:rPr>
        <w:t xml:space="preserve">For you I am a bishop; with you I am a Christian.</w:t>
      </w:r>
    </w:p>
    <w:p>
      <w:pPr>
        <w:spacing w:after="480"/>
        <w:jc w:val="center"/>
      </w:pPr>
      <w:r>
        <w:rPr>
          <w:color w:val="A67C1A"/>
          <w:sz w:val="19"/>
          <w:szCs w:val="19"/>
        </w:rPr>
        <w:t xml:space="preserve">— </w:t>
      </w:r>
      <w:r>
        <w:rPr>
          <w:smallCaps/>
          <w:color w:val="A67C1A"/>
          <w:sz w:val="19"/>
          <w:szCs w:val="19"/>
        </w:rPr>
        <w:t xml:space="preserve">Augustine of Hippo, Sermon 340</w:t>
      </w:r>
    </w:p>
    <w:p>
      <w:pPr>
        <w:pStyle w:val="BodyFirst"/>
      </w:pPr>
      <w:r>
        <w:t xml:space="preserve">The leaders of the early Church lived with the pitfalls of leadership in an intensely practical way. They led congregations through persecution, doctrinal controversy, schism and, after the conversion of Constantine, the new dangers of imperial favour and wealth. Their writings show that they were acutely aware of the perils of office. Many of them resisted ordination, some fled from it, and several wrote extended treatises on the responsibilities and temptations of pastoral leadership. Their reflections remain remarkably relevant.</w:t>
      </w:r>
    </w:p>
    <w:p>
      <w:pPr>
        <w:pStyle w:val="Heading2"/>
      </w:pPr>
      <w:r>
        <w:t xml:space="preserve">The Didache: Testing the Travelling Minister</w:t>
      </w:r>
    </w:p>
    <w:p>
      <w:pPr>
        <w:pStyle w:val="BodyFirst"/>
      </w:pPr>
      <w:r>
        <w:t xml:space="preserve">The </w:t>
      </w:r>
      <w:r>
        <w:rPr>
          <w:i/>
          <w:iCs/>
        </w:rPr>
        <w:t xml:space="preserve">Didache</w:t>
      </w:r>
      <w:r>
        <w:t xml:space="preserve">, or </w:t>
      </w:r>
      <w:r>
        <w:rPr>
          <w:i/>
          <w:iCs/>
        </w:rPr>
        <w:t xml:space="preserve">Teaching of the Twelve Apostles</w:t>
      </w:r>
      <w:r>
        <w:t xml:space="preserve">, is a short church manual probably dating from the late first or early second century. Its instructions on receiving travelling apostles and prophets reveal that the early Church already faced the problem of ministers who exploited hospitality for gain. The </w:t>
      </w:r>
      <w:r>
        <w:rPr>
          <w:i/>
          <w:iCs/>
        </w:rPr>
        <w:t xml:space="preserve">Didache</w:t>
      </w:r>
      <w:r>
        <w:t xml:space="preserve"> instructs that an apostle should stay no more than a day, or two if necessary; if he stays three days, he is a false prophet. When he leaves, he should receive only enough bread to reach his next lodging, and “if he ask money, he is a false prophet.” A prophet who orders a meal “in the Spirit” and then eats it himself is exposed as false.</w:t>
      </w:r>
      <w:hyperlink w:anchor="note_14_1">
        <w:r>
          <w:rPr>
            <w:rFonts w:ascii="Times New Roman" w:cs="Times New Roman" w:eastAsia="Times New Roman" w:hAnsi="Times New Roman"/>
            <w:vertAlign w:val="superscript"/>
          </w:rPr>
          <w:t xml:space="preserve">1</w:t>
        </w:r>
      </w:hyperlink>
    </w:p>
    <w:p>
      <w:pPr>
        <w:pStyle w:val="Body"/>
      </w:pPr>
      <w:r>
        <w:t xml:space="preserve">Most memorably, the </w:t>
      </w:r>
      <w:r>
        <w:rPr>
          <w:i/>
          <w:iCs/>
        </w:rPr>
        <w:t xml:space="preserve">Didache</w:t>
      </w:r>
      <w:r>
        <w:t xml:space="preserve"> warns against anyone who will not work but wishes to live idly on the community’s generosity, calling such a person a </w:t>
      </w:r>
      <w:r>
        <w:rPr>
          <w:i/>
          <w:iCs/>
        </w:rPr>
        <w:t xml:space="preserve">christemporos</w:t>
      </w:r>
      <w:r>
        <w:t xml:space="preserve">, a “Christ-monger,” one who trades on the name of Christ.</w:t>
      </w:r>
      <w:hyperlink w:anchor="note_14_2">
        <w:r>
          <w:rPr>
            <w:rFonts w:ascii="Times New Roman" w:cs="Times New Roman" w:eastAsia="Times New Roman" w:hAnsi="Times New Roman"/>
            <w:vertAlign w:val="superscript"/>
          </w:rPr>
          <w:t xml:space="preserve">2</w:t>
        </w:r>
      </w:hyperlink>
      <w:r>
        <w:t xml:space="preserve"> The word could hardly be more apt for the commercialisation of ministry in any age.</w:t>
      </w:r>
    </w:p>
    <w:p>
      <w:pPr>
        <w:pStyle w:val="Heading2"/>
      </w:pPr>
      <w:r>
        <w:t xml:space="preserve">Clement and Polycarp: Envy and Avarice</w:t>
      </w:r>
    </w:p>
    <w:p>
      <w:pPr>
        <w:pStyle w:val="BodyFirst"/>
      </w:pPr>
      <w:r>
        <w:t xml:space="preserve">As noted in Chapter 7, the letter known as </w:t>
      </w:r>
      <w:r>
        <w:rPr>
          <w:i/>
          <w:iCs/>
        </w:rPr>
        <w:t xml:space="preserve">1 Clement</w:t>
      </w:r>
      <w:r>
        <w:t xml:space="preserve">, written from Rome to Corinth around AD 96, addresses a church where younger members had removed their established presbyters. Clement traces the destructive history of jealousy and urges the Corinthians to humility and order.</w:t>
      </w:r>
    </w:p>
    <w:p>
      <w:pPr>
        <w:pStyle w:val="Body"/>
      </w:pPr>
      <w:r>
        <w:t xml:space="preserve">Polycarp, bishop of Smyrna, writing to the Philippians in the early second century, recounts with evident grief the case of Valens, a man who had once been a presbyter among them but had fallen through love of money. Polycarp urges the church to abstain from covetousness and yet not to treat Valens and his wife as enemies, but to call them back as suffering and straying members.</w:t>
      </w:r>
      <w:hyperlink w:anchor="note_14_3">
        <w:r>
          <w:rPr>
            <w:rFonts w:ascii="Times New Roman" w:cs="Times New Roman" w:eastAsia="Times New Roman" w:hAnsi="Times New Roman"/>
            <w:vertAlign w:val="superscript"/>
          </w:rPr>
          <w:t xml:space="preserve">3</w:t>
        </w:r>
      </w:hyperlink>
      <w:r>
        <w:t xml:space="preserve"> The passage combines clear judgement on the sin with a pastoral hope for restoration.</w:t>
      </w:r>
    </w:p>
    <w:p>
      <w:pPr>
        <w:pStyle w:val="Heading2"/>
      </w:pPr>
      <w:r>
        <w:t xml:space="preserve">Cyprian: Leaders Who Failed Under Pressure</w:t>
      </w:r>
    </w:p>
    <w:p>
      <w:pPr>
        <w:pStyle w:val="BodyFirst"/>
      </w:pPr>
      <w:r>
        <w:t xml:space="preserve">The Decian persecution of AD 250 required citizens to sacrifice to the gods and obtain a certificate (</w:t>
      </w:r>
      <w:r>
        <w:rPr>
          <w:i/>
          <w:iCs/>
        </w:rPr>
        <w:t xml:space="preserve">libellus</w:t>
      </w:r>
      <w:r>
        <w:t xml:space="preserve">) proving they had done so. Some Christians, including some clergy, sacrificed or obtained certificates by bribery. Cyprian, bishop of Carthage, wrote extensively about how the Church should treat these “lapsed” members. In one letter he addressed the case of two Spanish bishops, Basilides and Martial, who had compromised during the persecution and yet sought to retain their office. Cyprian insisted that men who had so grievously fallen should not continue to preside over the Church’s worship, though they could be received as penitents.</w:t>
      </w:r>
      <w:hyperlink w:anchor="note_14_4">
        <w:r>
          <w:rPr>
            <w:rFonts w:ascii="Times New Roman" w:cs="Times New Roman" w:eastAsia="Times New Roman" w:hAnsi="Times New Roman"/>
            <w:vertAlign w:val="superscript"/>
          </w:rPr>
          <w:t xml:space="preserve">4</w:t>
        </w:r>
      </w:hyperlink>
    </w:p>
    <w:p>
      <w:pPr>
        <w:pStyle w:val="Body"/>
      </w:pPr>
      <w:r>
        <w:t xml:space="preserve">Cyprian’s position reflects an important principle that remains relevant today: forgiveness and restoration to fellowship are not the same as restoration to leadership. The Church may welcome back a fallen leader as a brother while recognising that the trust required for public office has been broken.</w:t>
      </w:r>
    </w:p>
    <w:p>
      <w:pPr>
        <w:pStyle w:val="Heading2"/>
      </w:pPr>
      <w:r>
        <w:t xml:space="preserve">Paul of Samosata: The Bishop Who Became a Magistrate</w:t>
      </w:r>
    </w:p>
    <w:p>
      <w:pPr>
        <w:pStyle w:val="BodyFirst"/>
      </w:pPr>
      <w:r>
        <w:t xml:space="preserve">Around AD 260, Paul of Samosata became bishop of Antioch, one of the most important sees in the Christian world. He was eventually deposed around 268, primarily for doctrinal error concerning the person of Christ. But the synod’s letter, preserved by the historian Eusebius, also paints a vivid picture of his conduct as a leader. According to the letter, he enriched himself through his office, preferred the title and manner of a civil official to that of a bishop, walked through the marketplace surrounded by attendants, had a lofty throne and a private chamber built for himself, rebuked those who did not applaud him in church, and arranged for hymns in his own honour.</w:t>
      </w:r>
      <w:hyperlink w:anchor="note_14_5">
        <w:r>
          <w:rPr>
            <w:rFonts w:ascii="Times New Roman" w:cs="Times New Roman" w:eastAsia="Times New Roman" w:hAnsi="Times New Roman"/>
            <w:vertAlign w:val="superscript"/>
          </w:rPr>
          <w:t xml:space="preserve">5</w:t>
        </w:r>
      </w:hyperlink>
    </w:p>
    <w:p>
      <w:pPr>
        <w:pStyle w:val="Body"/>
      </w:pPr>
      <w:r>
        <w:t xml:space="preserve">Allowing for the polemical tone of a letter written by his opponents, the portrait of Paul of Samosata reads like a catalogue of the pitfalls examined in this book: wealth, pride, ceremony, entourage and demand for applause. It shows how early the Roman model of the patron-ruler crept into the Church.</w:t>
      </w:r>
    </w:p>
    <w:p>
      <w:pPr>
        <w:pStyle w:val="Heading2"/>
      </w:pPr>
      <w:r>
        <w:t xml:space="preserve">Gregory of Nazianzus: The Flight from Ordination</w:t>
      </w:r>
    </w:p>
    <w:p>
      <w:pPr>
        <w:pStyle w:val="BodyFirst"/>
      </w:pPr>
      <w:r>
        <w:t xml:space="preserve">Gregory of Nazianzus was ordained a presbyter against his will by his father around AD 361 and immediately fled to the solitude of Pontus. When he returned, he delivered a lengthy oration explaining his flight. In it he describes the weight of the pastoral office, arguing that the guiding of human souls is the most difficult and varied of all forms of rule, since each soul requires different treatment and the pastor must be himself purified before he purifies others.</w:t>
      </w:r>
      <w:hyperlink w:anchor="note_14_6">
        <w:r>
          <w:rPr>
            <w:rFonts w:ascii="Times New Roman" w:cs="Times New Roman" w:eastAsia="Times New Roman" w:hAnsi="Times New Roman"/>
            <w:vertAlign w:val="superscript"/>
          </w:rPr>
          <w:t xml:space="preserve">6</w:t>
        </w:r>
      </w:hyperlink>
      <w:r>
        <w:t xml:space="preserve"> Gregory’s reluctance was not cowardice; it was a sober recognition of the dangers of leadership for the unprepared.</w:t>
      </w:r>
    </w:p>
    <w:p>
      <w:pPr>
        <w:pStyle w:val="Heading2"/>
      </w:pPr>
      <w:r>
        <w:t xml:space="preserve">John Chrysostom: On the Priesthood</w:t>
      </w:r>
    </w:p>
    <w:p>
      <w:pPr>
        <w:pStyle w:val="BodyFirst"/>
      </w:pPr>
      <w:r>
        <w:t xml:space="preserve">John Chrysostom, later archbishop of Constantinople, wrote his treatise </w:t>
      </w:r>
      <w:r>
        <w:rPr>
          <w:i/>
          <w:iCs/>
        </w:rPr>
        <w:t xml:space="preserve">On the Priesthood</w:t>
      </w:r>
      <w:r>
        <w:t xml:space="preserve"> as a dialogue explaining why he had evaded ordination when his friend Basil accepted it. The work is a searching examination of the pastoral office. Chrysostom warns that the minister must guard above all against vainglory, the love of praise, which he describes as a dangerous rock on which many have been wrecked. He notes that the preacher is especially exposed, since congregations applaud eloquence, and a minister who craves their applause will soon shape his message to please them.</w:t>
      </w:r>
      <w:hyperlink w:anchor="note_14_7">
        <w:r>
          <w:rPr>
            <w:rFonts w:ascii="Times New Roman" w:cs="Times New Roman" w:eastAsia="Times New Roman" w:hAnsi="Times New Roman"/>
            <w:vertAlign w:val="superscript"/>
          </w:rPr>
          <w:t xml:space="preserve">7</w:t>
        </w:r>
      </w:hyperlink>
      <w:r>
        <w:t xml:space="preserve"> He also warns against anger, envy and the desire for pre-eminence, and insists that the minister’s private life must be as carefully guarded as his public ministry.</w:t>
      </w:r>
    </w:p>
    <w:p>
      <w:pPr>
        <w:pStyle w:val="Body"/>
      </w:pPr>
      <w:r>
        <w:t xml:space="preserve">Chrysostom’s own career illustrates his teaching. As archbishop he confronted the luxury of the imperial court and the wealth of the clergy, reduced his household expenses and redirected funds to hospitals. His courage made powerful enemies, and he died in exile in 407. He is a reminder that faithfulness in leadership may cost a leader his position.</w:t>
      </w:r>
    </w:p>
    <w:p>
      <w:pPr>
        <w:pStyle w:val="Heading2"/>
      </w:pPr>
      <w:r>
        <w:t xml:space="preserve">Ambrose and Theodosius: The Emperor Rebuked</w:t>
      </w:r>
    </w:p>
    <w:p>
      <w:pPr>
        <w:pStyle w:val="BodyFirst"/>
      </w:pPr>
      <w:r>
        <w:t xml:space="preserve">In AD 390, following a riot in Thessalonica, soldiers acting on the orders of the Emperor Theodosius massacred thousands of the city’s inhabitants. Ambrose, bishop of Milan, wrote to the emperor privately, urging him to repent and indicating that he could not offer the Eucharist in his presence until he did so. Theodosius eventually submitted and performed public penance.</w:t>
      </w:r>
      <w:hyperlink w:anchor="note_14_8">
        <w:r>
          <w:rPr>
            <w:rFonts w:ascii="Times New Roman" w:cs="Times New Roman" w:eastAsia="Times New Roman" w:hAnsi="Times New Roman"/>
            <w:vertAlign w:val="superscript"/>
          </w:rPr>
          <w:t xml:space="preserve">8</w:t>
        </w:r>
      </w:hyperlink>
    </w:p>
    <w:p>
      <w:pPr>
        <w:pStyle w:val="Body"/>
      </w:pPr>
      <w:r>
        <w:t xml:space="preserve">The episode is significant for two reasons. It shows a church leader willing to confront the most powerful man in the world, recalling Nathan before David. And it shows a ruler willing, eventually, to humble himself. Both represent the opposite of the leadership pitfalls examined in this book.</w:t>
      </w:r>
    </w:p>
    <w:p>
      <w:pPr>
        <w:pStyle w:val="Heading2"/>
      </w:pPr>
      <w:r>
        <w:t xml:space="preserve">Augustine: Bishop and Brother</w:t>
      </w:r>
    </w:p>
    <w:p>
      <w:pPr>
        <w:pStyle w:val="BodyFirst"/>
      </w:pPr>
      <w:r>
        <w:t xml:space="preserve">Augustine of Hippo, who was ordained against his wishes in AD 391, understood the danger that office posed to the soul. In a sermon on the anniversary of his ordination, he observed that what he was </w:t>
      </w:r>
      <w:r>
        <w:rPr>
          <w:i/>
          <w:iCs/>
        </w:rPr>
        <w:t xml:space="preserve">for</w:t>
      </w:r>
      <w:r>
        <w:t xml:space="preserve"> his people terrified him, while what he was </w:t>
      </w:r>
      <w:r>
        <w:rPr>
          <w:i/>
          <w:iCs/>
        </w:rPr>
        <w:t xml:space="preserve">with</w:t>
      </w:r>
      <w:r>
        <w:t xml:space="preserve"> them consoled him: “For you I am a bishop; with you I am a Christian.” The first, he explained, was a name of office and of danger; the second, a name of grace and of salvation.</w:t>
      </w:r>
      <w:hyperlink w:anchor="note_14_9">
        <w:r>
          <w:rPr>
            <w:rFonts w:ascii="Times New Roman" w:cs="Times New Roman" w:eastAsia="Times New Roman" w:hAnsi="Times New Roman"/>
            <w:vertAlign w:val="superscript"/>
          </w:rPr>
          <w:t xml:space="preserve">9</w:t>
        </w:r>
      </w:hyperlink>
      <w:r>
        <w:t xml:space="preserve"> Augustine refused to let his title eclipse his identity as a fellow sinner saved by grace.</w:t>
      </w:r>
    </w:p>
    <w:p>
      <w:pPr>
        <w:pStyle w:val="Body"/>
      </w:pPr>
      <w:r>
        <w:t xml:space="preserve">In </w:t>
      </w:r>
      <w:r>
        <w:rPr>
          <w:i/>
          <w:iCs/>
        </w:rPr>
        <w:t xml:space="preserve">The City of God</w:t>
      </w:r>
      <w:r>
        <w:t xml:space="preserve">, Augustine also offered a penetrating reflection on power without justice. Kingdoms without justice, he argued, are nothing but great robberies. He illustrated the point with the story of a pirate captured by Alexander the Great. Asked why he troubled the sea, the pirate answered that he did the same as the emperor; he was called a robber because he did it with one small ship, while Alexander was called an emperor because he did it with a great fleet.</w:t>
      </w:r>
      <w:hyperlink w:anchor="note_14_10">
        <w:r>
          <w:rPr>
            <w:rFonts w:ascii="Times New Roman" w:cs="Times New Roman" w:eastAsia="Times New Roman" w:hAnsi="Times New Roman"/>
            <w:vertAlign w:val="superscript"/>
          </w:rPr>
          <w:t xml:space="preserve">10</w:t>
        </w:r>
      </w:hyperlink>
      <w:r>
        <w:t xml:space="preserve"> Authority does not sanctify injustice.</w:t>
      </w:r>
    </w:p>
    <w:p>
      <w:pPr>
        <w:pStyle w:val="Heading2"/>
      </w:pPr>
      <w:r>
        <w:t xml:space="preserve">The Desert Fathers and Cassian</w:t>
      </w:r>
    </w:p>
    <w:p>
      <w:pPr>
        <w:pStyle w:val="BodyFirst"/>
      </w:pPr>
      <w:r>
        <w:t xml:space="preserve">The monks of the Egyptian desert were deeply suspicious of the ambitions of office. John Cassian, who carried their teaching to the West, included in his </w:t>
      </w:r>
      <w:r>
        <w:rPr>
          <w:i/>
          <w:iCs/>
        </w:rPr>
        <w:t xml:space="preserve">Institutes</w:t>
      </w:r>
      <w:r>
        <w:t xml:space="preserve"> a memorable piece of monastic advice: a monk ought to flee from women and from bishops, since both could draw him away from the quiet of his cell, the one through desire and the other through the offer of ordination and ecclesiastical honour.</w:t>
      </w:r>
      <w:hyperlink w:anchor="note_14_11">
        <w:r>
          <w:rPr>
            <w:rFonts w:ascii="Times New Roman" w:cs="Times New Roman" w:eastAsia="Times New Roman" w:hAnsi="Times New Roman"/>
            <w:vertAlign w:val="superscript"/>
          </w:rPr>
          <w:t xml:space="preserve">11</w:t>
        </w:r>
      </w:hyperlink>
      <w:r>
        <w:t xml:space="preserve"> The saying is humorous, but its point is serious: the desire for office is itself a form of vainglory.</w:t>
      </w:r>
    </w:p>
    <w:p>
      <w:pPr>
        <w:pStyle w:val="Heading2"/>
      </w:pPr>
      <w:r>
        <w:t xml:space="preserve">Benedict: To Profit Rather Than Preside</w:t>
      </w:r>
    </w:p>
    <w:p>
      <w:pPr>
        <w:pStyle w:val="BodyFirst"/>
      </w:pPr>
      <w:r>
        <w:t xml:space="preserve">Benedict of Nursia, writing his </w:t>
      </w:r>
      <w:r>
        <w:rPr>
          <w:i/>
          <w:iCs/>
        </w:rPr>
        <w:t xml:space="preserve">Rule</w:t>
      </w:r>
      <w:r>
        <w:t xml:space="preserve"> for monasteries in the sixth century, gave careful instructions for the character of the abbot. The abbot should know that his task is to profit his brothers rather than to preside over them (</w:t>
      </w:r>
      <w:r>
        <w:rPr>
          <w:i/>
          <w:iCs/>
        </w:rPr>
        <w:t xml:space="preserve">prodesse magis quam praeesse</w:t>
      </w:r>
      <w:r>
        <w:t xml:space="preserve">). He should hate vices but love the brothers, and he should strive to be loved rather than feared (</w:t>
      </w:r>
      <w:r>
        <w:rPr>
          <w:i/>
          <w:iCs/>
        </w:rPr>
        <w:t xml:space="preserve">studeat plus amari quam timeri</w:t>
      </w:r>
      <w:r>
        <w:t xml:space="preserve">). He must not be troubled, anxious, extreme, obstinate, jealous or over-suspicious, for such a man is never at rest.</w:t>
      </w:r>
      <w:hyperlink w:anchor="note_14_12">
        <w:r>
          <w:rPr>
            <w:rFonts w:ascii="Times New Roman" w:cs="Times New Roman" w:eastAsia="Times New Roman" w:hAnsi="Times New Roman"/>
            <w:vertAlign w:val="superscript"/>
          </w:rPr>
          <w:t xml:space="preserve">12</w:t>
        </w:r>
      </w:hyperlink>
      <w:r>
        <w:t xml:space="preserve"> These few lines distil a whole theology of leadership.</w:t>
      </w:r>
    </w:p>
    <w:p>
      <w:pPr>
        <w:pStyle w:val="Heading2"/>
      </w:pPr>
      <w:r>
        <w:t xml:space="preserve">Gregory the Great: The Art of Arts</w:t>
      </w:r>
    </w:p>
    <w:p>
      <w:pPr>
        <w:pStyle w:val="BodyFirst"/>
      </w:pPr>
      <w:r>
        <w:t xml:space="preserve">The most influential patristic work on leadership is the </w:t>
      </w:r>
      <w:r>
        <w:rPr>
          <w:i/>
          <w:iCs/>
        </w:rPr>
        <w:t xml:space="preserve">Pastoral Rule</w:t>
      </w:r>
      <w:r>
        <w:t xml:space="preserve"> of Gregory the Great, written around AD 590, shortly after he became bishop of Rome. Gregory begins by declaring that the government of souls is “the art of arts” and warning that no one should presume to teach an art he has not first learned.</w:t>
      </w:r>
      <w:hyperlink w:anchor="note_14_13">
        <w:r>
          <w:rPr>
            <w:rFonts w:ascii="Times New Roman" w:cs="Times New Roman" w:eastAsia="Times New Roman" w:hAnsi="Times New Roman"/>
            <w:vertAlign w:val="superscript"/>
          </w:rPr>
          <w:t xml:space="preserve">13</w:t>
        </w:r>
      </w:hyperlink>
      <w:r>
        <w:t xml:space="preserve"> He then explores at length the dangers that face the ruler of souls. The one who desires to rule is often unfit to rule; the one who rules must beware of being inwardly lifted up by the praise and deference he receives; and prosperity in office can gradually persuade a leader that he is superior to those beneath him.</w:t>
      </w:r>
    </w:p>
    <w:p>
      <w:pPr>
        <w:pStyle w:val="Body"/>
      </w:pPr>
      <w:r>
        <w:t xml:space="preserve">Gregory uses Saul as a key example: small in his own eyes when chosen, swollen with pride once established.</w:t>
      </w:r>
      <w:hyperlink w:anchor="note_14_14">
        <w:r>
          <w:rPr>
            <w:rFonts w:ascii="Times New Roman" w:cs="Times New Roman" w:eastAsia="Times New Roman" w:hAnsi="Times New Roman"/>
            <w:vertAlign w:val="superscript"/>
          </w:rPr>
          <w:t xml:space="preserve">14</w:t>
        </w:r>
      </w:hyperlink>
      <w:r>
        <w:t xml:space="preserve"> He also insists that a leader must combine compassion with discipline, neither neglecting inner spiritual care in the busyness of outward affairs nor neglecting practical responsibility in pursuit of private contemplation. His balance of contemplation and action, humility and authority, remains one of the finest statements of Christian leadership ever written.</w:t>
      </w:r>
    </w:p>
    <w:p>
      <w:pPr>
        <w:pStyle w:val="Heading2"/>
      </w:pPr>
      <w:r>
        <w:t xml:space="preserve">Lessons from the Fathers</w:t>
      </w:r>
    </w:p>
    <w:p>
      <w:pPr>
        <w:pStyle w:val="BodyFirst"/>
      </w:pPr>
      <w:r>
        <w:t xml:space="preserve">The Fathers teach several consistent lessons. They regarded the desire for leadership with caution rather than celebration. They recognised vainglory and the love of praise as especially dangerous for preachers. They held leaders accountable, even to the point of deposing bishops and rebuking emperors. They distinguished between forgiveness and restoration to office. And they insisted that the leader’s identity must remain rooted in his common status as a Christian among Christians. In an age that often celebrates ambition in ministry, their holy reluctance is a needed corrective.</w:t>
      </w:r>
    </w:p>
    <w:p>
      <w:pPr>
        <w:keepNext/>
        <w:pBdr>
          <w:top w:val="single" w:color="A67C1A" w:sz="6" w:space="8"/>
        </w:pBdr>
        <w:spacing w:after="120" w:before="360"/>
      </w:pPr>
      <w:r>
        <w:rPr>
          <w:b/>
          <w:bCs/>
          <w:smallCaps/>
          <w:color w:val="1F3864"/>
          <w:spacing w:val="20"/>
          <w:sz w:val="22"/>
          <w:szCs w:val="22"/>
        </w:rPr>
        <w:t xml:space="preserve">For Reflection and Discussion</w:t>
      </w:r>
    </w:p>
    <w:p>
      <w:pPr>
        <w:keepNext/>
        <w:keepLines/>
        <w:tabs>
          <w:tab w:val="left" w:pos="360"/>
        </w:tabs>
        <w:spacing w:after="80" w:line="276"/>
        <w:ind w:left="360" w:hanging="360"/>
      </w:pPr>
      <w:r>
        <w:rPr>
          <w:b/>
          <w:bCs/>
          <w:color w:val="A67C1A"/>
          <w:sz w:val="21"/>
          <w:szCs w:val="21"/>
        </w:rPr>
        <w:t xml:space="preserve">1.</w:t>
      </w:r>
      <w:r>
        <w:t xml:space="preserve">	</w:t>
      </w:r>
      <w:r>
        <w:rPr>
          <w:sz w:val="21"/>
          <w:szCs w:val="21"/>
        </w:rPr>
        <w:t xml:space="preserve">Why did so many of the Fathers resist or flee from ordination? Is there anything to learn from their reluctance?</w:t>
      </w:r>
    </w:p>
    <w:p>
      <w:pPr>
        <w:keepNext/>
        <w:keepLines/>
        <w:tabs>
          <w:tab w:val="left" w:pos="360"/>
        </w:tabs>
        <w:spacing w:after="80" w:line="276"/>
        <w:ind w:left="360" w:hanging="360"/>
      </w:pPr>
      <w:r>
        <w:rPr>
          <w:b/>
          <w:bCs/>
          <w:color w:val="A67C1A"/>
          <w:sz w:val="21"/>
          <w:szCs w:val="21"/>
        </w:rPr>
        <w:t xml:space="preserve">2.</w:t>
      </w:r>
      <w:r>
        <w:t xml:space="preserve">	</w:t>
      </w:r>
      <w:r>
        <w:rPr>
          <w:sz w:val="21"/>
          <w:szCs w:val="21"/>
        </w:rPr>
        <w:t xml:space="preserve">What does the portrait of Paul of Samosata reveal about the way worldly models of power entered the Church?</w:t>
      </w:r>
    </w:p>
    <w:p>
      <w:pPr>
        <w:keepNext/>
        <w:keepLines/>
        <w:tabs>
          <w:tab w:val="left" w:pos="360"/>
        </w:tabs>
        <w:spacing w:after="80" w:line="276"/>
        <w:ind w:left="360" w:hanging="360"/>
      </w:pPr>
      <w:r>
        <w:rPr>
          <w:b/>
          <w:bCs/>
          <w:color w:val="A67C1A"/>
          <w:sz w:val="21"/>
          <w:szCs w:val="21"/>
        </w:rPr>
        <w:t xml:space="preserve">3.</w:t>
      </w:r>
      <w:r>
        <w:t xml:space="preserve">	</w:t>
      </w:r>
      <w:r>
        <w:rPr>
          <w:sz w:val="21"/>
          <w:szCs w:val="21"/>
        </w:rPr>
        <w:t xml:space="preserve">How does Augustine’s “for you I am a bishop; with you I am a Christian” shape the way a leader sees himself?</w:t>
      </w:r>
    </w:p>
    <w:p>
      <w:pPr>
        <w:keepNext w:val="false"/>
        <w:keepLines/>
        <w:tabs>
          <w:tab w:val="left" w:pos="360"/>
        </w:tabs>
        <w:spacing w:after="80" w:line="276"/>
        <w:ind w:left="360" w:hanging="360"/>
      </w:pPr>
      <w:r>
        <w:rPr>
          <w:b/>
          <w:bCs/>
          <w:color w:val="A67C1A"/>
          <w:sz w:val="21"/>
          <w:szCs w:val="21"/>
        </w:rPr>
        <w:t xml:space="preserve">4.</w:t>
      </w:r>
      <w:r>
        <w:t xml:space="preserve">	</w:t>
      </w:r>
      <w:r>
        <w:rPr>
          <w:sz w:val="21"/>
          <w:szCs w:val="21"/>
        </w:rPr>
        <w:t xml:space="preserve">Which of Gregory the Great’s warnings seems most relevant to leaders in your context?</w:t>
      </w:r>
    </w:p>
    <w:p>
      <w:pPr>
        <w:sectPr>
          <w:headerReference w:type="default" r:id="rId91"/>
          <w:headerReference w:type="first" r:id="rId92"/>
          <w:footerReference w:type="default" r:id="rId93"/>
          <w:footerReference w:type="first" r:id="rId94"/>
          <w:type w:val="nextPage"/>
          <w:pgSz w:w="8640" w:h="12960" w:orient="portrait"/>
          <w:pgMar w:top="1080" w:right="936" w:bottom="1008" w:left="1008" w:header="560" w:footer="520" w:gutter="0"/>
          <w:pgNumType w:fmt="decimal"/>
          <w:titlePg/>
          <w:docGrid w:linePitch="360"/>
        </w:sectPr>
      </w:pPr>
    </w:p>
    <w:p>
      <w:pPr>
        <w:spacing w:after="160" w:before="1300"/>
        <w:jc w:val="center"/>
      </w:pPr>
      <w:r>
        <w:rPr>
          <w:b/>
          <w:bCs/>
          <w:color w:val="A67C1A"/>
          <w:spacing w:val="60"/>
          <w:sz w:val="20"/>
          <w:szCs w:val="20"/>
        </w:rPr>
        <w:t xml:space="preserve">CHAPTER 15</w:t>
      </w:r>
    </w:p>
    <w:p>
      <w:pPr>
        <w:pStyle w:val="Heading1"/>
      </w:pPr>
      <w:bookmarkStart w:id="1089" w:name="toc_498"/>
      <w:r>
        <w:t xml:space="preserve">When Caesar Became a Patron: Constantine and the Perils of Imperial Favour</w:t>
      </w:r>
      <w:bookmarkEnd w:id="1089"/>
    </w:p>
    <w:p>
      <w:pPr>
        <w:spacing w:after="60" w:before="60" w:line="276"/>
        <w:ind w:left="720" w:right="720"/>
        <w:jc w:val="center"/>
      </w:pPr>
      <w:r>
        <w:rPr>
          <w:i/>
          <w:iCs/>
          <w:color w:val="555555"/>
          <w:sz w:val="21"/>
          <w:szCs w:val="21"/>
        </w:rPr>
        <w:t xml:space="preserve">We are fighting today against a deceptive persecutor, a flattering enemy.</w:t>
      </w:r>
    </w:p>
    <w:p>
      <w:pPr>
        <w:spacing w:after="480"/>
        <w:jc w:val="center"/>
      </w:pPr>
      <w:r>
        <w:rPr>
          <w:color w:val="A67C1A"/>
          <w:sz w:val="19"/>
          <w:szCs w:val="19"/>
        </w:rPr>
        <w:t xml:space="preserve">— </w:t>
      </w:r>
      <w:r>
        <w:rPr>
          <w:smallCaps/>
          <w:color w:val="A67C1A"/>
          <w:sz w:val="19"/>
          <w:szCs w:val="19"/>
        </w:rPr>
        <w:t xml:space="preserve">Hilary of Poitiers, </w:t>
      </w:r>
      <w:r>
        <w:rPr>
          <w:i/>
          <w:iCs/>
          <w:smallCaps/>
          <w:color w:val="A67C1A"/>
          <w:sz w:val="19"/>
          <w:szCs w:val="19"/>
        </w:rPr>
        <w:t xml:space="preserve">Against Constantius</w:t>
      </w:r>
    </w:p>
    <w:p>
      <w:pPr>
        <w:pStyle w:val="BodyFirst"/>
      </w:pPr>
      <w:r>
        <w:t xml:space="preserve">For nearly three centuries the Church lived under the threat of Roman persecution. Its leaders were watched, arrested, exiled and martyred. Then, in the space of a few years, everything changed. After his victory at the Milvian Bridge in AD 312, the emperor Constantine declared his allegiance to the God of the Christians, and in 313 he and his co-emperor Licinius agreed on a policy of toleration that restored confiscated church property. Within a generation, bishops who had once hidden from magistrates were dining with the emperor. The Church had survived the sword; now it faced a subtler test. This chapter examines how imperial favour created a new set of pitfalls for Christian leaders, pitfalls that remain remarkably familiar wherever the Church stands close to political power and wealth.</w:t>
      </w:r>
    </w:p>
    <w:p>
      <w:pPr>
        <w:pStyle w:val="Heading2"/>
      </w:pPr>
      <w:r>
        <w:t xml:space="preserve">The Gifts of the Emperor</w:t>
      </w:r>
    </w:p>
    <w:p>
      <w:pPr>
        <w:pStyle w:val="BodyFirst"/>
      </w:pPr>
      <w:r>
        <w:t xml:space="preserve">Constantine was generous to the Church. He funded the building of great basilicas in Rome, Jerusalem and elsewhere. He granted the clergy exemption from the burdensome public duties that fell on members of the local councils. In a letter preserved by Eusebius, he explained that those who devote themselves to the service of divine worship should be freed from public obligations, so that they may not be drawn away from the service due to God.</w:t>
      </w:r>
      <w:hyperlink w:anchor="note_15_1">
        <w:r>
          <w:rPr>
            <w:rFonts w:ascii="Times New Roman" w:cs="Times New Roman" w:eastAsia="Times New Roman" w:hAnsi="Times New Roman"/>
            <w:vertAlign w:val="superscript"/>
          </w:rPr>
          <w:t xml:space="preserve">1</w:t>
        </w:r>
      </w:hyperlink>
      <w:r>
        <w:t xml:space="preserve"> He also recognised the authority of bishops to judge civil disputes when both parties agreed, giving their decisions legal force.</w:t>
      </w:r>
      <w:hyperlink w:anchor="note_15_2">
        <w:r>
          <w:rPr>
            <w:rFonts w:ascii="Times New Roman" w:cs="Times New Roman" w:eastAsia="Times New Roman" w:hAnsi="Times New Roman"/>
            <w:vertAlign w:val="superscript"/>
          </w:rPr>
          <w:t xml:space="preserve">2</w:t>
        </w:r>
      </w:hyperlink>
    </w:p>
    <w:p>
      <w:pPr>
        <w:pStyle w:val="Body"/>
      </w:pPr>
      <w:r>
        <w:t xml:space="preserve">Each of these gifts could be justified. Clergy needed freedom to serve; the Church needed buildings; bishops were often better judges than corrupt magistrates. Yet every gift brought a temptation. Exemption from civic duties made ordination attractive to men who wished to escape their obligations. A law preserved in the Theodosian Code soon had to restrict wealthy members of the local councils from entering the clergy for that very reason, requiring that clergy be drawn from those of modest means.</w:t>
      </w:r>
      <w:hyperlink w:anchor="note_15_3">
        <w:r>
          <w:rPr>
            <w:rFonts w:ascii="Times New Roman" w:cs="Times New Roman" w:eastAsia="Times New Roman" w:hAnsi="Times New Roman"/>
            <w:vertAlign w:val="superscript"/>
          </w:rPr>
          <w:t xml:space="preserve">3</w:t>
        </w:r>
      </w:hyperlink>
      <w:r>
        <w:t xml:space="preserve"> When ministry brings privileges, it will attract those who seek the privileges rather than the ministry.</w:t>
      </w:r>
    </w:p>
    <w:p>
      <w:pPr>
        <w:pStyle w:val="Heading2"/>
      </w:pPr>
      <w:r>
        <w:t xml:space="preserve">The Banquet at Nicaea</w:t>
      </w:r>
    </w:p>
    <w:p>
      <w:pPr>
        <w:pStyle w:val="BodyFirst"/>
      </w:pPr>
      <w:r>
        <w:t xml:space="preserve">In AD 325 Constantine summoned the bishops of the empire to Nicaea to settle the Arian controversy. The council’s work on the doctrine of Christ was of lasting importance, and the Church rightly honours the creed it produced. But the scene that followed the council reveals the new situation. Constantine celebrated the twentieth year of his reign with a banquet for the bishops. Eusebius, bishop of Caesarea, describes how the bishops passed without fear between rows of the imperial bodyguard with drawn swords, and reclined at table with the emperor, so that one might have imagined it to be a picture of Christ’s kingdom, a dream rather than reality.</w:t>
      </w:r>
      <w:hyperlink w:anchor="note_15_4">
        <w:r>
          <w:rPr>
            <w:rFonts w:ascii="Times New Roman" w:cs="Times New Roman" w:eastAsia="Times New Roman" w:hAnsi="Times New Roman"/>
            <w:vertAlign w:val="superscript"/>
          </w:rPr>
          <w:t xml:space="preserve">4</w:t>
        </w:r>
      </w:hyperlink>
    </w:p>
    <w:p>
      <w:pPr>
        <w:pStyle w:val="Body"/>
      </w:pPr>
      <w:r>
        <w:t xml:space="preserve">Eusebius’s enthusiasm is understandable. Many of those bishops bore the scars of persecution. But his description also reveals the danger. When a church leader begins to see the favour of the ruler as a picture of the kingdom of God, he has confused two very different things. The Church’s welcome at the palace is not the same as the coming of Christ’s kingdom, and the courtier-bishop is always in danger of forgetting it.</w:t>
      </w:r>
    </w:p>
    <w:p>
      <w:pPr>
        <w:pStyle w:val="Heading2"/>
      </w:pPr>
      <w:r>
        <w:t xml:space="preserve">The Price of the Roman See</w:t>
      </w:r>
    </w:p>
    <w:p>
      <w:pPr>
        <w:pStyle w:val="BodyFirst"/>
      </w:pPr>
      <w:r>
        <w:t xml:space="preserve">By the second half of the fourth century, the bishopric of Rome had become a prize worth fighting for. In AD 366, rival factions supporting Damasus and Ursinus clashed violently over the election. The pagan historian Ammianus Marcellinus records that on a single day one hundred and thirty-seven corpses were found in a basilica where the Christians assembled. Ammianus then offers a telling commentary. He says he can understand why men seek the office so eagerly, since those who obtain it are enriched by the gifts of wealthy women, ride in carriages, dress splendidly and give banquets that surpass the tables of kings. Yet, he adds, they could be truly happy if they imitated certain provincial bishops, whose frugality in food and drink, plain clothing and humble bearing commend them as pure and modest men to the eternal God and his true worshippers.</w:t>
      </w:r>
      <w:hyperlink w:anchor="note_15_5">
        <w:r>
          <w:rPr>
            <w:rFonts w:ascii="Times New Roman" w:cs="Times New Roman" w:eastAsia="Times New Roman" w:hAnsi="Times New Roman"/>
            <w:vertAlign w:val="superscript"/>
          </w:rPr>
          <w:t xml:space="preserve">5</w:t>
        </w:r>
      </w:hyperlink>
    </w:p>
    <w:p>
      <w:pPr>
        <w:pStyle w:val="Body"/>
      </w:pPr>
      <w:r>
        <w:t xml:space="preserve">It is sobering that one of the sharpest critiques of worldly church leadership in the fourth century came from a pagan observer. He could see clearly what some Christian leaders could not: that wealth and display had corrupted the office, and that the humble country bishops were closer to the spirit of Christ than the splendid bishops of the capital. Jerome records a quip attributed to Praetextatus, a leading pagan aristocrat of Rome: “Make me bishop of Rome, and I will become a Christian at once.”</w:t>
      </w:r>
      <w:hyperlink w:anchor="note_15_6">
        <w:r>
          <w:rPr>
            <w:rFonts w:ascii="Times New Roman" w:cs="Times New Roman" w:eastAsia="Times New Roman" w:hAnsi="Times New Roman"/>
            <w:vertAlign w:val="superscript"/>
          </w:rPr>
          <w:t xml:space="preserve">6</w:t>
        </w:r>
      </w:hyperlink>
      <w:r>
        <w:t xml:space="preserve"> The joke worked because everyone knew what the office was worth.</w:t>
      </w:r>
    </w:p>
    <w:p>
      <w:pPr>
        <w:pStyle w:val="Heading2"/>
      </w:pPr>
      <w:r>
        <w:t xml:space="preserve">Jerome’s Warning to Nepotian</w:t>
      </w:r>
    </w:p>
    <w:p>
      <w:pPr>
        <w:pStyle w:val="BodyFirst"/>
      </w:pPr>
      <w:r>
        <w:t xml:space="preserve">Jerome, who knew the Roman clergy well, wrote a long letter around AD 394 to a young presbyter named Nepotian, advising him on the life of a clergyman. It contains some of the most pointed warnings against clerical greed in all of patristic literature. “A clergyman who engages in business, and who rises from poverty to wealth, and from obscurity to a high position, avoid as you would the plague.”</w:t>
      </w:r>
      <w:hyperlink w:anchor="note_15_7">
        <w:r>
          <w:rPr>
            <w:rFonts w:ascii="Times New Roman" w:cs="Times New Roman" w:eastAsia="Times New Roman" w:hAnsi="Times New Roman"/>
            <w:vertAlign w:val="superscript"/>
          </w:rPr>
          <w:t xml:space="preserve">7</w:t>
        </w:r>
      </w:hyperlink>
    </w:p>
    <w:p>
      <w:pPr>
        <w:pStyle w:val="Body"/>
      </w:pPr>
      <w:r>
        <w:t xml:space="preserve">Jerome also refers to a law of the emperor Valentinian, issued in AD 370, that forbade clergy and those who professed continence from visiting the homes of widows and orphans in order to obtain legacies from them.</w:t>
      </w:r>
      <w:hyperlink w:anchor="note_15_8">
        <w:r>
          <w:rPr>
            <w:rFonts w:ascii="Times New Roman" w:cs="Times New Roman" w:eastAsia="Times New Roman" w:hAnsi="Times New Roman"/>
            <w:vertAlign w:val="superscript"/>
          </w:rPr>
          <w:t xml:space="preserve">8</w:t>
        </w:r>
      </w:hyperlink>
      <w:r>
        <w:t xml:space="preserve"> His comment is remarkable. He notes with shame that priests of idols, actors, charioteers and prostitutes could inherit property, while clergy and monks alone were forbidden. Then he adds: “I do not complain of the law, but I grieve that we have deserved it.”</w:t>
      </w:r>
      <w:hyperlink w:anchor="note_15_9">
        <w:r>
          <w:rPr>
            <w:rFonts w:ascii="Times New Roman" w:cs="Times New Roman" w:eastAsia="Times New Roman" w:hAnsi="Times New Roman"/>
            <w:vertAlign w:val="superscript"/>
          </w:rPr>
          <w:t xml:space="preserve">9</w:t>
        </w:r>
      </w:hyperlink>
      <w:r>
        <w:t xml:space="preserve"> The state had stepped in to regulate the Church because the Church had failed to regulate itself. It is a warning that bears directly on the debates about church governance examined in Chapter 17.</w:t>
      </w:r>
    </w:p>
    <w:p>
      <w:pPr>
        <w:pStyle w:val="Heading2"/>
      </w:pPr>
      <w:r>
        <w:t xml:space="preserve">Donatus and the Question of the Emperor</w:t>
      </w:r>
    </w:p>
    <w:p>
      <w:pPr>
        <w:pStyle w:val="BodyFirst"/>
      </w:pPr>
      <w:r>
        <w:t xml:space="preserve">The North African schism known as Donatism began over the question of whether bishops who had handed over the Scriptures during persecution could validly ordain others. Both parties appealed to Constantine to settle their dispute, and in so doing invited the emperor into the governance of the Church. When imperial decisions went against them, the Donatists changed their tune. Optatus of Milevis records that Donatus asked, “What has the emperor to do with the Church?”</w:t>
      </w:r>
      <w:hyperlink w:anchor="note_15_10">
        <w:r>
          <w:rPr>
            <w:rFonts w:ascii="Times New Roman" w:cs="Times New Roman" w:eastAsia="Times New Roman" w:hAnsi="Times New Roman"/>
            <w:vertAlign w:val="superscript"/>
          </w:rPr>
          <w:t xml:space="preserve">10</w:t>
        </w:r>
      </w:hyperlink>
    </w:p>
    <w:p>
      <w:pPr>
        <w:pStyle w:val="Body"/>
      </w:pPr>
      <w:r>
        <w:t xml:space="preserve">The question was a good one, though Donatus asked it only when it suited him. It exposes a perennial pitfall. Church leaders are tempted to seek the support of political power when it favours them and to resent it when it does not. Those who invite the state into the affairs of the Church to defeat their rivals should not be surprised when the state stays to govern them.</w:t>
      </w:r>
    </w:p>
    <w:p>
      <w:pPr>
        <w:pStyle w:val="Heading2"/>
      </w:pPr>
      <w:r>
        <w:t xml:space="preserve">The Flattering Persecutor</w:t>
      </w:r>
    </w:p>
    <w:p>
      <w:pPr>
        <w:pStyle w:val="BodyFirst"/>
      </w:pPr>
      <w:r>
        <w:t xml:space="preserve">Constantine’s son Constantius II favoured the Arian party and used imperial power to depose and exile bishops who held to the Nicene faith. Athanasius of Alexandria was exiled five times in the course of his career, under several emperors, for refusing to compromise his confession. Hilary of Poitiers was also exiled, and he wrote a fierce pamphlet against Constantius. In it he identified the new danger facing the Church with remarkable insight. The emperor, he wrote, was a deceptive persecutor and a flattering enemy who did not scourge the back but caressed the belly, who did not confiscate property for death but enriched men for death, who did not thrust them into prison for liberty but honoured them in the palace for slavery.</w:t>
      </w:r>
      <w:hyperlink w:anchor="note_15_11">
        <w:r>
          <w:rPr>
            <w:rFonts w:ascii="Times New Roman" w:cs="Times New Roman" w:eastAsia="Times New Roman" w:hAnsi="Times New Roman"/>
            <w:vertAlign w:val="superscript"/>
          </w:rPr>
          <w:t xml:space="preserve">11</w:t>
        </w:r>
      </w:hyperlink>
    </w:p>
    <w:p>
      <w:pPr>
        <w:pStyle w:val="Body"/>
      </w:pPr>
      <w:r>
        <w:t xml:space="preserve">Hilary saw that honour and money could achieve what the sword had not. The persecutions of Decius and Diocletian had produced martyrs; the favour of the palace produced courtiers. His words describe precisely the pitfall of proximity to power: the leader who is flattered, funded and honoured by the powerful gradually loses the freedom to speak the truth to them.</w:t>
      </w:r>
    </w:p>
    <w:p>
      <w:pPr>
        <w:pStyle w:val="Heading2"/>
      </w:pPr>
      <w:r>
        <w:t xml:space="preserve">The Faithful Minority</w:t>
      </w:r>
    </w:p>
    <w:p>
      <w:pPr>
        <w:pStyle w:val="BodyFirst"/>
      </w:pPr>
      <w:r>
        <w:t xml:space="preserve">The fourth century also produced leaders who resisted these temptations. Athanasius held to his convictions through exile after exile, earning the phrase later attached to his name, </w:t>
      </w:r>
      <w:r>
        <w:rPr>
          <w:i/>
          <w:iCs/>
        </w:rPr>
        <w:t xml:space="preserve">Athanasius contra mundum</w:t>
      </w:r>
      <w:r>
        <w:t xml:space="preserve">, “Athanasius against the world.” Ambrose, as we saw in Chapter 14, refused to let the emperor Theodosius receive communion until he repented. Basil of Caesarea, confronted by an imperial prefect who threatened him with confiscation, exile and death, replied that confiscation could not harm a man who possessed nothing but a few books and worn clothes, that exile meant nothing to one for whom the whole earth was the Lord’s, and that death would only send him sooner to God. The astonished prefect said no one had ever spoken to him like that. Basil answered that perhaps he had never met a bishop before.</w:t>
      </w:r>
      <w:hyperlink w:anchor="note_15_12">
        <w:r>
          <w:rPr>
            <w:rFonts w:ascii="Times New Roman" w:cs="Times New Roman" w:eastAsia="Times New Roman" w:hAnsi="Times New Roman"/>
            <w:vertAlign w:val="superscript"/>
          </w:rPr>
          <w:t xml:space="preserve">12</w:t>
        </w:r>
      </w:hyperlink>
      <w:r>
        <w:t xml:space="preserve"> Basil’s freedom came from his simplicity of life. A leader who does not depend on the favour of the powerful cannot be controlled by them.</w:t>
      </w:r>
    </w:p>
    <w:p>
      <w:pPr>
        <w:pStyle w:val="Body"/>
      </w:pPr>
      <w:r>
        <w:t xml:space="preserve">Basil also used his position not for display but for service. Outside Caesarea he built a large complex for the care of the poor, the sick and travellers, later known as the </w:t>
      </w:r>
      <w:r>
        <w:rPr>
          <w:i/>
          <w:iCs/>
        </w:rPr>
        <w:t xml:space="preserve">Basileias</w:t>
      </w:r>
      <w:r>
        <w:t xml:space="preserve">, which Gregory of Nazianzus praised as a new city.</w:t>
      </w:r>
      <w:hyperlink w:anchor="note_15_13">
        <w:r>
          <w:rPr>
            <w:rFonts w:ascii="Times New Roman" w:cs="Times New Roman" w:eastAsia="Times New Roman" w:hAnsi="Times New Roman"/>
            <w:vertAlign w:val="superscript"/>
          </w:rPr>
          <w:t xml:space="preserve">13</w:t>
        </w:r>
      </w:hyperlink>
      <w:r>
        <w:t xml:space="preserve"> Influence was converted into compassion.</w:t>
      </w:r>
    </w:p>
    <w:p>
      <w:pPr>
        <w:pStyle w:val="Heading2"/>
      </w:pPr>
      <w:r>
        <w:t xml:space="preserve">Contemporary Implications</w:t>
      </w:r>
    </w:p>
    <w:p>
      <w:pPr>
        <w:pStyle w:val="BodyFirst"/>
      </w:pPr>
      <w:r>
        <w:t xml:space="preserve">The Constantinian temptation is alive wherever the Church enjoys proximity to political and economic power. In Nigeria and across Africa, politicians regularly visit churches, especially in election seasons. They make donations, receive public prayers, sit in reserved seats and are sometimes presented to congregations in ways that imply divine endorsement. Some ministers receive vehicles, contracts, appointments or cash from political figures. Others prophesy electoral outcomes that conveniently favour their benefactors.</w:t>
      </w:r>
    </w:p>
    <w:p>
      <w:pPr>
        <w:pStyle w:val="Body"/>
      </w:pPr>
      <w:r>
        <w:t xml:space="preserve">None of this means the Church should withdraw from public life. Scripture calls believers to pray for those in authority (1 Tim. 2:1–2), and the prophets engaged kings directly. Christians rightly serve in government, and church leaders may speak to national issues. But the lessons of the fourth century are clear:</w:t>
      </w:r>
    </w:p>
    <w:p>
      <w:pPr>
        <w:pStyle w:val="Body"/>
        <w:numPr>
          <w:ilvl w:val="0"/>
          <w:numId w:val="2"/>
        </w:numPr>
        <w:spacing w:after="60"/>
        <w:ind w:left="432" w:hanging="288" w:firstLine="0"/>
      </w:pPr>
      <w:r>
        <w:t xml:space="preserve">Gifts from the powerful create obligations, whether spoken or unspoken.</w:t>
      </w:r>
    </w:p>
    <w:p>
      <w:pPr>
        <w:pStyle w:val="Body"/>
        <w:numPr>
          <w:ilvl w:val="0"/>
          <w:numId w:val="2"/>
        </w:numPr>
        <w:spacing w:after="60"/>
        <w:ind w:left="432" w:hanging="288" w:firstLine="0"/>
      </w:pPr>
      <w:r>
        <w:t xml:space="preserve">A leader who dines regularly at the palace will find it difficult to speak like Nathan or Ambrose.</w:t>
      </w:r>
    </w:p>
    <w:p>
      <w:pPr>
        <w:pStyle w:val="Body"/>
        <w:numPr>
          <w:ilvl w:val="0"/>
          <w:numId w:val="2"/>
        </w:numPr>
        <w:spacing w:after="60"/>
        <w:ind w:left="432" w:hanging="288" w:firstLine="0"/>
      </w:pPr>
      <w:r>
        <w:t xml:space="preserve">Privileges attached to ministry will attract people who want the privileges.</w:t>
      </w:r>
    </w:p>
    <w:p>
      <w:pPr>
        <w:pStyle w:val="Body"/>
        <w:numPr>
          <w:ilvl w:val="0"/>
          <w:numId w:val="2"/>
        </w:numPr>
        <w:spacing w:after="60"/>
        <w:ind w:left="432" w:hanging="288" w:firstLine="0"/>
      </w:pPr>
      <w:r>
        <w:t xml:space="preserve">Churches that invite the state to settle their disputes will eventually be governed by the state.</w:t>
      </w:r>
    </w:p>
    <w:p>
      <w:pPr>
        <w:pStyle w:val="Body"/>
        <w:numPr>
          <w:ilvl w:val="0"/>
          <w:numId w:val="2"/>
        </w:numPr>
        <w:spacing w:after="60"/>
        <w:ind w:left="432" w:hanging="288" w:firstLine="0"/>
      </w:pPr>
      <w:r>
        <w:t xml:space="preserve">The simplicity of life that Basil practised is the foundation of prophetic freedom.</w:t>
      </w:r>
    </w:p>
    <w:p>
      <w:pPr>
        <w:pStyle w:val="Body"/>
      </w:pPr>
      <w:r>
        <w:t xml:space="preserve">Hilary’s warning deserves to be heard in every generation. The flattering enemy is more dangerous than the persecuting one, because he does not look like an enemy at all.</w:t>
      </w:r>
    </w:p>
    <w:p>
      <w:pPr>
        <w:keepNext/>
        <w:pBdr>
          <w:top w:val="single" w:color="A67C1A" w:sz="6" w:space="8"/>
        </w:pBdr>
        <w:spacing w:after="120" w:before="360"/>
      </w:pPr>
      <w:r>
        <w:rPr>
          <w:b/>
          <w:bCs/>
          <w:smallCaps/>
          <w:color w:val="1F3864"/>
          <w:spacing w:val="20"/>
          <w:sz w:val="22"/>
          <w:szCs w:val="22"/>
        </w:rPr>
        <w:t xml:space="preserve">For Reflection and Discussion</w:t>
      </w:r>
    </w:p>
    <w:p>
      <w:pPr>
        <w:keepNext/>
        <w:keepLines/>
        <w:tabs>
          <w:tab w:val="left" w:pos="360"/>
        </w:tabs>
        <w:spacing w:after="80" w:line="276"/>
        <w:ind w:left="360" w:hanging="360"/>
      </w:pPr>
      <w:r>
        <w:rPr>
          <w:b/>
          <w:bCs/>
          <w:color w:val="A67C1A"/>
          <w:sz w:val="21"/>
          <w:szCs w:val="21"/>
        </w:rPr>
        <w:t xml:space="preserve">1.</w:t>
      </w:r>
      <w:r>
        <w:t xml:space="preserve">	</w:t>
      </w:r>
      <w:r>
        <w:rPr>
          <w:sz w:val="21"/>
          <w:szCs w:val="21"/>
        </w:rPr>
        <w:t xml:space="preserve">What gifts did Constantine give the Church, and what temptations did each create?</w:t>
      </w:r>
    </w:p>
    <w:p>
      <w:pPr>
        <w:keepNext/>
        <w:keepLines/>
        <w:tabs>
          <w:tab w:val="left" w:pos="360"/>
        </w:tabs>
        <w:spacing w:after="80" w:line="276"/>
        <w:ind w:left="360" w:hanging="360"/>
      </w:pPr>
      <w:r>
        <w:rPr>
          <w:b/>
          <w:bCs/>
          <w:color w:val="A67C1A"/>
          <w:sz w:val="21"/>
          <w:szCs w:val="21"/>
        </w:rPr>
        <w:t xml:space="preserve">2.</w:t>
      </w:r>
      <w:r>
        <w:t xml:space="preserve">	</w:t>
      </w:r>
      <w:r>
        <w:rPr>
          <w:sz w:val="21"/>
          <w:szCs w:val="21"/>
        </w:rPr>
        <w:t xml:space="preserve">Why do you think a pagan historian, Ammianus Marcellinus, saw the corruption of the Roman bishops so clearly?</w:t>
      </w:r>
    </w:p>
    <w:p>
      <w:pPr>
        <w:keepNext/>
        <w:keepLines/>
        <w:tabs>
          <w:tab w:val="left" w:pos="360"/>
        </w:tabs>
        <w:spacing w:after="80" w:line="276"/>
        <w:ind w:left="360" w:hanging="360"/>
      </w:pPr>
      <w:r>
        <w:rPr>
          <w:b/>
          <w:bCs/>
          <w:color w:val="A67C1A"/>
          <w:sz w:val="21"/>
          <w:szCs w:val="21"/>
        </w:rPr>
        <w:t xml:space="preserve">3.</w:t>
      </w:r>
      <w:r>
        <w:t xml:space="preserve">	</w:t>
      </w:r>
      <w:r>
        <w:rPr>
          <w:sz w:val="21"/>
          <w:szCs w:val="21"/>
        </w:rPr>
        <w:t xml:space="preserve">Hilary of Poitiers spoke of a “flattering enemy.” What forms does that enemy take in your nation today?</w:t>
      </w:r>
    </w:p>
    <w:p>
      <w:pPr>
        <w:keepNext w:val="false"/>
        <w:keepLines/>
        <w:tabs>
          <w:tab w:val="left" w:pos="360"/>
        </w:tabs>
        <w:spacing w:after="80" w:line="276"/>
        <w:ind w:left="360" w:hanging="360"/>
      </w:pPr>
      <w:r>
        <w:rPr>
          <w:b/>
          <w:bCs/>
          <w:color w:val="A67C1A"/>
          <w:sz w:val="21"/>
          <w:szCs w:val="21"/>
        </w:rPr>
        <w:t xml:space="preserve">4.</w:t>
      </w:r>
      <w:r>
        <w:t xml:space="preserve">	</w:t>
      </w:r>
      <w:r>
        <w:rPr>
          <w:sz w:val="21"/>
          <w:szCs w:val="21"/>
        </w:rPr>
        <w:t xml:space="preserve">How can church leaders engage with political leaders without losing their prophetic freedom?</w:t>
      </w:r>
    </w:p>
    <w:p>
      <w:pPr>
        <w:sectPr>
          <w:headerReference w:type="default" r:id="rId95"/>
          <w:headerReference w:type="first" r:id="rId96"/>
          <w:footerReference w:type="default" r:id="rId97"/>
          <w:footerReference w:type="first" r:id="rId98"/>
          <w:type w:val="nextPage"/>
          <w:pgSz w:w="8640" w:h="12960" w:orient="portrait"/>
          <w:pgMar w:top="1080" w:right="936" w:bottom="1008" w:left="1008" w:header="560" w:footer="520" w:gutter="0"/>
          <w:pgNumType w:fmt="decimal"/>
          <w:titlePg/>
          <w:docGrid w:linePitch="360"/>
        </w:sectPr>
      </w:pPr>
    </w:p>
    <w:p>
      <w:pPr>
        <w:spacing w:after="160" w:before="1300"/>
        <w:jc w:val="center"/>
      </w:pPr>
      <w:r>
        <w:rPr>
          <w:b/>
          <w:bCs/>
          <w:color w:val="A67C1A"/>
          <w:spacing w:val="60"/>
          <w:sz w:val="20"/>
          <w:szCs w:val="20"/>
        </w:rPr>
        <w:t xml:space="preserve">CHAPTER 16</w:t>
      </w:r>
    </w:p>
    <w:p>
      <w:pPr>
        <w:pStyle w:val="Heading1"/>
      </w:pPr>
      <w:bookmarkStart w:id="1090" w:name="toc_539"/>
      <w:r>
        <w:t xml:space="preserve">Contemporary Church Leaders: Falls, Lessons and Faithful Examples</w:t>
      </w:r>
      <w:bookmarkEnd w:id="1090"/>
    </w:p>
    <w:p>
      <w:pPr>
        <w:spacing w:after="60" w:before="60" w:line="276"/>
        <w:ind w:left="720" w:right="720"/>
        <w:jc w:val="center"/>
      </w:pPr>
      <w:r>
        <w:rPr>
          <w:i/>
          <w:iCs/>
          <w:color w:val="555555"/>
          <w:sz w:val="21"/>
          <w:szCs w:val="21"/>
        </w:rPr>
        <w:t xml:space="preserve">Moreover it is required in stewards, that a man be found faithful.</w:t>
      </w:r>
    </w:p>
    <w:p>
      <w:pPr>
        <w:spacing w:after="480"/>
        <w:jc w:val="center"/>
      </w:pPr>
      <w:r>
        <w:rPr>
          <w:color w:val="A67C1A"/>
          <w:sz w:val="19"/>
          <w:szCs w:val="19"/>
        </w:rPr>
        <w:t xml:space="preserve">— </w:t>
      </w:r>
      <w:r>
        <w:rPr>
          <w:smallCaps/>
          <w:color w:val="A67C1A"/>
          <w:sz w:val="19"/>
          <w:szCs w:val="19"/>
        </w:rPr>
        <w:t xml:space="preserve">1 Corinthians 4:2</w:t>
      </w:r>
    </w:p>
    <w:p>
      <w:pPr>
        <w:pStyle w:val="BodyFirst"/>
      </w:pPr>
      <w:r>
        <w:t xml:space="preserve">The pitfalls traced through Scripture and the early Church are not ancient history. The last half-century has witnessed a series of highly public falls by church leaders, particularly in the Western evangelical and Pentecostal world. This chapter examines a selection of cases drawn from the public record. The purpose is not to condemn individuals, some of whom have publicly repented and some of whom have died, but to learn from patterns that recur with remarkable consistency. The chapter also considers leaders whose faithfulness offers a positive example.</w:t>
      </w:r>
    </w:p>
    <w:p>
      <w:pPr>
        <w:pStyle w:val="Heading2"/>
      </w:pPr>
      <w:r>
        <w:t xml:space="preserve">The Televangelist Scandals of the 1980s</w:t>
      </w:r>
    </w:p>
    <w:p>
      <w:pPr>
        <w:pStyle w:val="BodyFirst"/>
      </w:pPr>
      <w:r>
        <w:t xml:space="preserve">In the late 1980s, two of America’s most prominent television ministers fell in quick succession. Jim Bakker, who with his wife led the PTL television network and built a Christian theme park, resigned in 1987 amid a sexual scandal and revelations of financial misconduct. In 1989 he was convicted of fraud and conspiracy relating to the sale of “lifetime partnerships” in the ministry’s hotel facilities, which had been oversold far beyond capacity. He was initially sentenced to forty-five years in prison; the sentence was later reduced, and he was released on parole after about five years.</w:t>
      </w:r>
      <w:hyperlink w:anchor="note_16_1">
        <w:r>
          <w:rPr>
            <w:rFonts w:ascii="Times New Roman" w:cs="Times New Roman" w:eastAsia="Times New Roman" w:hAnsi="Times New Roman"/>
            <w:vertAlign w:val="superscript"/>
          </w:rPr>
          <w:t xml:space="preserve">1</w:t>
        </w:r>
      </w:hyperlink>
      <w:r>
        <w:t xml:space="preserve"> Bakker later wrote candidly about his errors, including the prosperity teaching he had embraced.</w:t>
      </w:r>
      <w:hyperlink w:anchor="note_16_2">
        <w:r>
          <w:rPr>
            <w:rFonts w:ascii="Times New Roman" w:cs="Times New Roman" w:eastAsia="Times New Roman" w:hAnsi="Times New Roman"/>
            <w:vertAlign w:val="superscript"/>
          </w:rPr>
          <w:t xml:space="preserve">2</w:t>
        </w:r>
      </w:hyperlink>
    </w:p>
    <w:p>
      <w:pPr>
        <w:pStyle w:val="Body"/>
      </w:pPr>
      <w:r>
        <w:t xml:space="preserve">In February 1988, Jimmy Swaggart, one of the most widely viewed evangelists in the world, who had publicly criticised other ministers for moral failure, confessed before his congregation after being exposed for involvement with a prostitute. His tearful confession was broadcast worldwide. When he declined to accept the full period of rehabilitation required by his denomination and returned to the pulpit, he was dismissed from its ministry.</w:t>
      </w:r>
      <w:hyperlink w:anchor="note_16_3">
        <w:r>
          <w:rPr>
            <w:rFonts w:ascii="Times New Roman" w:cs="Times New Roman" w:eastAsia="Times New Roman" w:hAnsi="Times New Roman"/>
            <w:vertAlign w:val="superscript"/>
          </w:rPr>
          <w:t xml:space="preserve">3</w:t>
        </w:r>
      </w:hyperlink>
    </w:p>
    <w:p>
      <w:pPr>
        <w:pStyle w:val="Body"/>
      </w:pPr>
      <w:r>
        <w:t xml:space="preserve">These cases illustrate several pitfalls simultaneously: financial excess, the absence of independent accountability, sexual sin concealed behind a public ministry, and the hypocrisy of condemning others for sins one is secretly committing. They also illustrate the danger of a ministry built around a single personality and funded by a mass audience with little oversight.</w:t>
      </w:r>
    </w:p>
    <w:p>
      <w:pPr>
        <w:pStyle w:val="Heading2"/>
      </w:pPr>
      <w:r>
        <w:t xml:space="preserve">Gordon MacDonald: Failure and Restoration</w:t>
      </w:r>
    </w:p>
    <w:p>
      <w:pPr>
        <w:pStyle w:val="BodyFirst"/>
      </w:pPr>
      <w:r>
        <w:t xml:space="preserve">Gordon MacDonald was a respected pastor and author whose book </w:t>
      </w:r>
      <w:r>
        <w:rPr>
          <w:i/>
          <w:iCs/>
        </w:rPr>
        <w:t xml:space="preserve">Ordering Your Private World</w:t>
      </w:r>
      <w:r>
        <w:t xml:space="preserve"> had helped many believers cultivate a disciplined inner life. In 1987, while president of InterVarsity Christian Fellowship in the United States, he resigned after acknowledging an adulterous relationship. He submitted to a process of discipline and restoration overseen by a group of trusted leaders, and later wrote </w:t>
      </w:r>
      <w:r>
        <w:rPr>
          <w:i/>
          <w:iCs/>
        </w:rPr>
        <w:t xml:space="preserve">Rebuilding Your Broken World</w:t>
      </w:r>
      <w:r>
        <w:t xml:space="preserve">, reflecting on how a person who taught spiritual discipline could fall so badly and how God restores broken lives.</w:t>
      </w:r>
      <w:hyperlink w:anchor="note_16_4">
        <w:r>
          <w:rPr>
            <w:rFonts w:ascii="Times New Roman" w:cs="Times New Roman" w:eastAsia="Times New Roman" w:hAnsi="Times New Roman"/>
            <w:vertAlign w:val="superscript"/>
          </w:rPr>
          <w:t xml:space="preserve">4</w:t>
        </w:r>
      </w:hyperlink>
      <w:r>
        <w:t xml:space="preserve"> His story shows that a leader may be sincere in his teaching and still vulnerable, and that restoration, where there is genuine repentance and accountability, is possible.</w:t>
      </w:r>
    </w:p>
    <w:p>
      <w:pPr>
        <w:pStyle w:val="Heading2"/>
      </w:pPr>
      <w:r>
        <w:t xml:space="preserve">Ted Haggard: The Hidden Life</w:t>
      </w:r>
    </w:p>
    <w:p>
      <w:pPr>
        <w:pStyle w:val="BodyFirst"/>
      </w:pPr>
      <w:r>
        <w:t xml:space="preserve">In November 2006, Ted Haggard, founding pastor of a large church in Colorado and president of the National Association of Evangelicals, resigned both positions after allegations of sexual misconduct and drug use, which he partly admitted. In a letter read to his congregation, he described a part of his life that was “repulsive and dark” against which he had warred for years.</w:t>
      </w:r>
      <w:hyperlink w:anchor="note_16_5">
        <w:r>
          <w:rPr>
            <w:rFonts w:ascii="Times New Roman" w:cs="Times New Roman" w:eastAsia="Times New Roman" w:hAnsi="Times New Roman"/>
            <w:vertAlign w:val="superscript"/>
          </w:rPr>
          <w:t xml:space="preserve">5</w:t>
        </w:r>
      </w:hyperlink>
      <w:r>
        <w:t xml:space="preserve"> His case highlights the danger of a double life, and of the isolation that allows a leader to hide struggles from everyone around him.</w:t>
      </w:r>
    </w:p>
    <w:p>
      <w:pPr>
        <w:pStyle w:val="Heading2"/>
      </w:pPr>
      <w:r>
        <w:t xml:space="preserve">Mark Driscoll and Mars Hill: The Culture of Control</w:t>
      </w:r>
    </w:p>
    <w:p>
      <w:pPr>
        <w:pStyle w:val="BodyFirst"/>
      </w:pPr>
      <w:r>
        <w:t xml:space="preserve">Mars Hill Church in Seattle grew rapidly under the preaching of Mark Driscoll in the early 2000s, becoming a multi-site church of many thousands. By 2014, numerous former elders and staff had raised concerns about a domineering and harsh leadership culture. Driscoll resigned in October 2014, and the church dissolved as a single organisation at the end of that year. The widely followed podcast </w:t>
      </w:r>
      <w:r>
        <w:rPr>
          <w:i/>
          <w:iCs/>
        </w:rPr>
        <w:t xml:space="preserve">The Rise and Fall of Mars Hill</w:t>
      </w:r>
      <w:r>
        <w:t xml:space="preserve">, produced by </w:t>
      </w:r>
      <w:r>
        <w:rPr>
          <w:i/>
          <w:iCs/>
        </w:rPr>
        <w:t xml:space="preserve">Christianity Today</w:t>
      </w:r>
      <w:r>
        <w:t xml:space="preserve"> in 2021, documented in detail how charisma, rapid growth, a culture of fear and the lack of genuine accountability combined to produce the collapse.</w:t>
      </w:r>
      <w:hyperlink w:anchor="note_16_6">
        <w:r>
          <w:rPr>
            <w:rFonts w:ascii="Times New Roman" w:cs="Times New Roman" w:eastAsia="Times New Roman" w:hAnsi="Times New Roman"/>
            <w:vertAlign w:val="superscript"/>
          </w:rPr>
          <w:t xml:space="preserve">6</w:t>
        </w:r>
      </w:hyperlink>
    </w:p>
    <w:p>
      <w:pPr>
        <w:pStyle w:val="Body"/>
      </w:pPr>
      <w:r>
        <w:t xml:space="preserve">The Mars Hill story is a modern Rehoboam narrative. It shows how the pitfall of abusive power can coexist with orthodox doctrine, dynamic preaching and numerical success, and how the removal of dissenting voices leaves a leader without the correction he most needs.</w:t>
      </w:r>
    </w:p>
    <w:p>
      <w:pPr>
        <w:pStyle w:val="Heading2"/>
      </w:pPr>
      <w:r>
        <w:t xml:space="preserve">Bill Hybels and Willow Creek</w:t>
      </w:r>
    </w:p>
    <w:p>
      <w:pPr>
        <w:pStyle w:val="BodyFirst"/>
      </w:pPr>
      <w:r>
        <w:t xml:space="preserve">Bill Hybels founded Willow Creek Community Church near Chicago in 1975 and built it into one of the most influential churches in North America, with a global leadership network. In 2018, following allegations of inappropriate conduct towards women over many years, he stepped down earlier than planned. The church’s initial response, which defended Hybels, was widely criticised, and the elders later resigned. An independent advisory group reported in 2019 that it found the allegations of misconduct credible.</w:t>
      </w:r>
      <w:hyperlink w:anchor="note_16_7">
        <w:r>
          <w:rPr>
            <w:rFonts w:ascii="Times New Roman" w:cs="Times New Roman" w:eastAsia="Times New Roman" w:hAnsi="Times New Roman"/>
            <w:vertAlign w:val="superscript"/>
          </w:rPr>
          <w:t xml:space="preserve">7</w:t>
        </w:r>
      </w:hyperlink>
      <w:r>
        <w:t xml:space="preserve"> Among the lessons of the Willow Creek case is that institutions often instinctively protect a founder, and that governing boards must be genuinely independent if they are to hold a powerful leader to account.</w:t>
      </w:r>
    </w:p>
    <w:p>
      <w:pPr>
        <w:pStyle w:val="Heading2"/>
      </w:pPr>
      <w:r>
        <w:t xml:space="preserve">Ravi Zacharias: The Apologist’s Secret</w:t>
      </w:r>
    </w:p>
    <w:p>
      <w:pPr>
        <w:pStyle w:val="BodyFirst"/>
      </w:pPr>
      <w:r>
        <w:t xml:space="preserve">Ravi Zacharias was among the most respected Christian apologists in the world, known for defending the faith in university settings across continents. After his death in May 2020, an independent investigation commissioned by his ministry found that he had engaged in a long pattern of sexual misconduct, and the ministry’s board publicly accepted those findings.</w:t>
      </w:r>
      <w:hyperlink w:anchor="note_16_8">
        <w:r>
          <w:rPr>
            <w:rFonts w:ascii="Times New Roman" w:cs="Times New Roman" w:eastAsia="Times New Roman" w:hAnsi="Times New Roman"/>
            <w:vertAlign w:val="superscript"/>
          </w:rPr>
          <w:t xml:space="preserve">8</w:t>
        </w:r>
      </w:hyperlink>
      <w:r>
        <w:t xml:space="preserve"> The case shocked many believers precisely because Zacharias’s intellectual defence of the faith had been so compelling. It is a painful illustration of the principle, noted in Chapter 1, that gifting is not proof of godliness, and that a ministry’s success can shield a leader from scrutiny.</w:t>
      </w:r>
    </w:p>
    <w:p>
      <w:pPr>
        <w:pStyle w:val="Heading2"/>
      </w:pPr>
      <w:r>
        <w:t xml:space="preserve">Hillsong: Growth, Celebrity and Accountability</w:t>
      </w:r>
    </w:p>
    <w:p>
      <w:pPr>
        <w:pStyle w:val="BodyFirst"/>
      </w:pPr>
      <w:r>
        <w:t xml:space="preserve">Hillsong Church, founded in Sydney, grew into a global movement with worship music sung around the world. In November 2020, Carl Lentz, the celebrity pastor of its New York congregation, was dismissed for leadership issues and moral failure. In March 2022, founder Brian Houston resigned from the global church after its board found he had breached its code of conduct. Houston had separately been charged in Australia with concealing child sexual abuse committed by his late father; he was acquitted of that charge in December 2023. The Hillsong crisis prompted wide discussion of celebrity culture in the Church, and of the difficulties of holding founders of global ministries accountable.</w:t>
      </w:r>
    </w:p>
    <w:p>
      <w:pPr>
        <w:pStyle w:val="Heading2"/>
      </w:pPr>
      <w:r>
        <w:t xml:space="preserve">Recurring Patterns</w:t>
      </w:r>
    </w:p>
    <w:p>
      <w:pPr>
        <w:pStyle w:val="BodyFirst"/>
      </w:pPr>
      <w:r>
        <w:t xml:space="preserve">Across these different cases, certain patterns recur with sobering regularity:</w:t>
      </w:r>
    </w:p>
    <w:p>
      <w:pPr>
        <w:pStyle w:val="Body"/>
        <w:numPr>
          <w:ilvl w:val="0"/>
          <w:numId w:val="2"/>
        </w:numPr>
        <w:spacing w:after="60"/>
        <w:ind w:left="432" w:hanging="288" w:firstLine="0"/>
      </w:pPr>
      <w:r>
        <w:rPr>
          <w:b/>
          <w:bCs/>
        </w:rPr>
        <w:t xml:space="preserve">Charisma outrunning character.</w:t>
      </w:r>
      <w:r>
        <w:t xml:space="preserve"> Each leader possessed remarkable gifts, and in each case those gifts drew people and resources faster than character and accountability developed.</w:t>
      </w:r>
    </w:p>
    <w:p>
      <w:pPr>
        <w:pStyle w:val="Body"/>
        <w:numPr>
          <w:ilvl w:val="0"/>
          <w:numId w:val="2"/>
        </w:numPr>
        <w:spacing w:after="60"/>
        <w:ind w:left="432" w:hanging="288" w:firstLine="0"/>
      </w:pPr>
      <w:r>
        <w:rPr>
          <w:b/>
          <w:bCs/>
        </w:rPr>
        <w:t xml:space="preserve">Founder’s authority without independent oversight.</w:t>
      </w:r>
      <w:r>
        <w:t xml:space="preserve"> Boards were often chosen by the leader, dependent on him, or unwilling to challenge him.</w:t>
      </w:r>
    </w:p>
    <w:p>
      <w:pPr>
        <w:pStyle w:val="Body"/>
        <w:numPr>
          <w:ilvl w:val="0"/>
          <w:numId w:val="2"/>
        </w:numPr>
        <w:spacing w:after="60"/>
        <w:ind w:left="432" w:hanging="288" w:firstLine="0"/>
      </w:pPr>
      <w:r>
        <w:rPr>
          <w:b/>
          <w:bCs/>
        </w:rPr>
        <w:t xml:space="preserve">A culture that silenced critics.</w:t>
      </w:r>
      <w:r>
        <w:t xml:space="preserve"> Those who raised concerns were often dismissed, disbelieved or pushed out.</w:t>
      </w:r>
    </w:p>
    <w:p>
      <w:pPr>
        <w:pStyle w:val="Body"/>
        <w:numPr>
          <w:ilvl w:val="0"/>
          <w:numId w:val="2"/>
        </w:numPr>
        <w:spacing w:after="60"/>
        <w:ind w:left="432" w:hanging="288" w:firstLine="0"/>
      </w:pPr>
      <w:r>
        <w:rPr>
          <w:b/>
          <w:bCs/>
        </w:rPr>
        <w:t xml:space="preserve">Secrecy and double lives.</w:t>
      </w:r>
      <w:r>
        <w:t xml:space="preserve"> Private sin was concealed for years behind a successful public ministry.</w:t>
      </w:r>
    </w:p>
    <w:p>
      <w:pPr>
        <w:pStyle w:val="Body"/>
        <w:numPr>
          <w:ilvl w:val="0"/>
          <w:numId w:val="2"/>
        </w:numPr>
        <w:spacing w:after="60"/>
        <w:ind w:left="432" w:hanging="288" w:firstLine="0"/>
      </w:pPr>
      <w:r>
        <w:rPr>
          <w:b/>
          <w:bCs/>
        </w:rPr>
        <w:t xml:space="preserve">Institutional self-protection.</w:t>
      </w:r>
      <w:r>
        <w:t xml:space="preserve"> Ministries frequently protected the leader and the brand rather than those who had been harmed.</w:t>
      </w:r>
    </w:p>
    <w:p>
      <w:pPr>
        <w:pStyle w:val="Body"/>
        <w:numPr>
          <w:ilvl w:val="0"/>
          <w:numId w:val="2"/>
        </w:numPr>
        <w:spacing w:after="60"/>
        <w:ind w:left="432" w:hanging="288" w:firstLine="0"/>
      </w:pPr>
      <w:r>
        <w:rPr>
          <w:b/>
          <w:bCs/>
        </w:rPr>
        <w:t xml:space="preserve">Celebrity.</w:t>
      </w:r>
      <w:r>
        <w:t xml:space="preserve"> Media platforms, publishing and conferences turned pastors into public figures, with the attendant temptations of image, wealth and isolation.</w:t>
      </w:r>
    </w:p>
    <w:p>
      <w:pPr>
        <w:pStyle w:val="Body"/>
      </w:pPr>
      <w:r>
        <w:t xml:space="preserve">Scot McKnight and Laura Barringer have argued that churches must deliberately cultivate a culture of goodness, marked by empathy, truth-telling, justice and service, if they are to resist the patterns of power and self-protection that lead to abuse.</w:t>
      </w:r>
      <w:hyperlink w:anchor="note_16_9">
        <w:r>
          <w:rPr>
            <w:rFonts w:ascii="Times New Roman" w:cs="Times New Roman" w:eastAsia="Times New Roman" w:hAnsi="Times New Roman"/>
            <w:vertAlign w:val="superscript"/>
          </w:rPr>
          <w:t xml:space="preserve">9</w:t>
        </w:r>
      </w:hyperlink>
    </w:p>
    <w:p>
      <w:pPr>
        <w:pStyle w:val="Heading2"/>
      </w:pPr>
      <w:r>
        <w:t xml:space="preserve">Faithful Examples</w:t>
      </w:r>
    </w:p>
    <w:p>
      <w:pPr>
        <w:pStyle w:val="BodyFirst"/>
      </w:pPr>
      <w:r>
        <w:t xml:space="preserve">The contemporary story is not only one of failure. Many leaders have finished well, and their examples deserve attention.</w:t>
      </w:r>
    </w:p>
    <w:p>
      <w:pPr>
        <w:pStyle w:val="Body"/>
      </w:pPr>
      <w:r>
        <w:rPr>
          <w:b/>
          <w:bCs/>
        </w:rPr>
        <w:t xml:space="preserve">Billy Graham</w:t>
      </w:r>
      <w:r>
        <w:t xml:space="preserve"> preached to more people in person than perhaps anyone in history and remained free of financial or sexual scandal throughout a ministry of more than six decades. In 1948, early in their work, Graham and his team met in Modesto, California, and identified the problems that had discredited evangelists before them: misuse of money, sexual immorality, exaggerated publicity and criticism of local churches. They resolved to guard against each, including by accepting a fixed salary rather than love offerings, by never being alone with a woman other than their wives, by using official estimates of crowd sizes, and by working with local churches.</w:t>
      </w:r>
      <w:hyperlink w:anchor="note_16_10">
        <w:r>
          <w:rPr>
            <w:rFonts w:ascii="Times New Roman" w:cs="Times New Roman" w:eastAsia="Times New Roman" w:hAnsi="Times New Roman"/>
            <w:vertAlign w:val="superscript"/>
          </w:rPr>
          <w:t xml:space="preserve">10</w:t>
        </w:r>
      </w:hyperlink>
      <w:r>
        <w:t xml:space="preserve"> Those simple commitments, kept for decades, protected one of the most visible ministries of the twentieth century.</w:t>
      </w:r>
    </w:p>
    <w:p>
      <w:pPr>
        <w:pStyle w:val="Body"/>
      </w:pPr>
      <w:r>
        <w:rPr>
          <w:b/>
          <w:bCs/>
        </w:rPr>
        <w:t xml:space="preserve">John Stott</w:t>
      </w:r>
      <w:r>
        <w:t xml:space="preserve">, the English pastor and theologian, served as rector of All Souls Church, Langham Place in London, and exercised global influence through his writing and his support of leaders in the Majority World. He remained unmarried, lived simply, and directed the royalties of his many books to fund theological education and literature for pastors in developing countries through the Langham Partnership.</w:t>
      </w:r>
      <w:hyperlink w:anchor="note_16_11">
        <w:r>
          <w:rPr>
            <w:rFonts w:ascii="Times New Roman" w:cs="Times New Roman" w:eastAsia="Times New Roman" w:hAnsi="Times New Roman"/>
            <w:vertAlign w:val="superscript"/>
          </w:rPr>
          <w:t xml:space="preserve">11</w:t>
        </w:r>
      </w:hyperlink>
      <w:r>
        <w:t xml:space="preserve"> His example shows that influence need not bring personal enrichment.</w:t>
      </w:r>
    </w:p>
    <w:p>
      <w:pPr>
        <w:pStyle w:val="Body"/>
      </w:pPr>
      <w:r>
        <w:t xml:space="preserve">Many faithful leaders will never be known outside their own communities: pastors who serve rural congregations for decades, who handle small offerings with scrupulous honesty, who love their families and hand on their charge to successors with gladness. Their names may not appear in books, but they are the true heroes of the Church’s story.</w:t>
      </w:r>
    </w:p>
    <w:p>
      <w:pPr>
        <w:keepNext/>
        <w:pBdr>
          <w:top w:val="single" w:color="A67C1A" w:sz="6" w:space="8"/>
        </w:pBdr>
        <w:spacing w:after="120" w:before="360"/>
      </w:pPr>
      <w:r>
        <w:rPr>
          <w:b/>
          <w:bCs/>
          <w:smallCaps/>
          <w:color w:val="1F3864"/>
          <w:spacing w:val="20"/>
          <w:sz w:val="22"/>
          <w:szCs w:val="22"/>
        </w:rPr>
        <w:t xml:space="preserve">For Reflection and Discussion</w:t>
      </w:r>
    </w:p>
    <w:p>
      <w:pPr>
        <w:keepNext/>
        <w:keepLines/>
        <w:tabs>
          <w:tab w:val="left" w:pos="360"/>
        </w:tabs>
        <w:spacing w:after="80" w:line="276"/>
        <w:ind w:left="360" w:hanging="360"/>
      </w:pPr>
      <w:r>
        <w:rPr>
          <w:b/>
          <w:bCs/>
          <w:color w:val="A67C1A"/>
          <w:sz w:val="21"/>
          <w:szCs w:val="21"/>
        </w:rPr>
        <w:t xml:space="preserve">1.</w:t>
      </w:r>
      <w:r>
        <w:t xml:space="preserve">	</w:t>
      </w:r>
      <w:r>
        <w:rPr>
          <w:sz w:val="21"/>
          <w:szCs w:val="21"/>
        </w:rPr>
        <w:t xml:space="preserve">What patterns recur across the contemporary cases in this chapter?</w:t>
      </w:r>
    </w:p>
    <w:p>
      <w:pPr>
        <w:keepNext/>
        <w:keepLines/>
        <w:tabs>
          <w:tab w:val="left" w:pos="360"/>
        </w:tabs>
        <w:spacing w:after="80" w:line="276"/>
        <w:ind w:left="360" w:hanging="360"/>
      </w:pPr>
      <w:r>
        <w:rPr>
          <w:b/>
          <w:bCs/>
          <w:color w:val="A67C1A"/>
          <w:sz w:val="21"/>
          <w:szCs w:val="21"/>
        </w:rPr>
        <w:t xml:space="preserve">2.</w:t>
      </w:r>
      <w:r>
        <w:t xml:space="preserve">	</w:t>
      </w:r>
      <w:r>
        <w:rPr>
          <w:sz w:val="21"/>
          <w:szCs w:val="21"/>
        </w:rPr>
        <w:t xml:space="preserve">Why do institutions so often protect a founder rather than those who have been harmed?</w:t>
      </w:r>
    </w:p>
    <w:p>
      <w:pPr>
        <w:keepNext/>
        <w:keepLines/>
        <w:tabs>
          <w:tab w:val="left" w:pos="360"/>
        </w:tabs>
        <w:spacing w:after="80" w:line="276"/>
        <w:ind w:left="360" w:hanging="360"/>
      </w:pPr>
      <w:r>
        <w:rPr>
          <w:b/>
          <w:bCs/>
          <w:color w:val="A67C1A"/>
          <w:sz w:val="21"/>
          <w:szCs w:val="21"/>
        </w:rPr>
        <w:t xml:space="preserve">3.</w:t>
      </w:r>
      <w:r>
        <w:t xml:space="preserve">	</w:t>
      </w:r>
      <w:r>
        <w:rPr>
          <w:sz w:val="21"/>
          <w:szCs w:val="21"/>
        </w:rPr>
        <w:t xml:space="preserve">What lessons can be drawn from the Modesto commitments of Billy Graham’s team?</w:t>
      </w:r>
    </w:p>
    <w:p>
      <w:pPr>
        <w:keepNext w:val="false"/>
        <w:keepLines/>
        <w:tabs>
          <w:tab w:val="left" w:pos="360"/>
        </w:tabs>
        <w:spacing w:after="80" w:line="276"/>
        <w:ind w:left="360" w:hanging="360"/>
      </w:pPr>
      <w:r>
        <w:rPr>
          <w:b/>
          <w:bCs/>
          <w:color w:val="A67C1A"/>
          <w:sz w:val="21"/>
          <w:szCs w:val="21"/>
        </w:rPr>
        <w:t xml:space="preserve">4.</w:t>
      </w:r>
      <w:r>
        <w:t xml:space="preserve">	</w:t>
      </w:r>
      <w:r>
        <w:rPr>
          <w:sz w:val="21"/>
          <w:szCs w:val="21"/>
        </w:rPr>
        <w:t xml:space="preserve">Who are the faithful, little-known leaders whose example has shaped you?</w:t>
      </w:r>
    </w:p>
    <w:p>
      <w:pPr>
        <w:sectPr>
          <w:headerReference w:type="default" r:id="rId99"/>
          <w:headerReference w:type="first" r:id="rId100"/>
          <w:footerReference w:type="default" r:id="rId101"/>
          <w:footerReference w:type="first" r:id="rId102"/>
          <w:type w:val="nextPage"/>
          <w:pgSz w:w="8640" w:h="12960" w:orient="portrait"/>
          <w:pgMar w:top="1080" w:right="936" w:bottom="1008" w:left="1008" w:header="560" w:footer="520" w:gutter="0"/>
          <w:pgNumType w:fmt="decimal"/>
          <w:titlePg/>
          <w:docGrid w:linePitch="360"/>
        </w:sectPr>
      </w:pPr>
    </w:p>
    <w:p>
      <w:pPr>
        <w:spacing w:after="160" w:before="1300"/>
        <w:jc w:val="center"/>
      </w:pPr>
      <w:r>
        <w:rPr>
          <w:b/>
          <w:bCs/>
          <w:color w:val="A67C1A"/>
          <w:spacing w:val="60"/>
          <w:sz w:val="20"/>
          <w:szCs w:val="20"/>
        </w:rPr>
        <w:t xml:space="preserve">CHAPTER 17</w:t>
      </w:r>
    </w:p>
    <w:p>
      <w:pPr>
        <w:pStyle w:val="Heading1"/>
      </w:pPr>
      <w:bookmarkStart w:id="1091" w:name="toc_581"/>
      <w:r>
        <w:t xml:space="preserve">Contemporary Implications for Africa and Nigeria</w:t>
      </w:r>
      <w:bookmarkEnd w:id="1091"/>
    </w:p>
    <w:p>
      <w:pPr>
        <w:spacing w:after="60" w:before="60" w:line="276"/>
        <w:ind w:left="720" w:right="720"/>
        <w:jc w:val="center"/>
      </w:pPr>
      <w:r>
        <w:rPr>
          <w:i/>
          <w:iCs/>
          <w:color w:val="555555"/>
          <w:sz w:val="21"/>
          <w:szCs w:val="21"/>
        </w:rPr>
        <w:t xml:space="preserve">The trouble with Nigeria is simply and squarely a failure of leadership.</w:t>
      </w:r>
    </w:p>
    <w:p>
      <w:pPr>
        <w:spacing w:after="480"/>
        <w:jc w:val="center"/>
      </w:pPr>
      <w:r>
        <w:rPr>
          <w:color w:val="A67C1A"/>
          <w:sz w:val="19"/>
          <w:szCs w:val="19"/>
        </w:rPr>
        <w:t xml:space="preserve">— </w:t>
      </w:r>
      <w:r>
        <w:rPr>
          <w:smallCaps/>
          <w:color w:val="A67C1A"/>
          <w:sz w:val="19"/>
          <w:szCs w:val="19"/>
        </w:rPr>
        <w:t xml:space="preserve">Chinua Achebe, </w:t>
      </w:r>
      <w:r>
        <w:rPr>
          <w:i/>
          <w:iCs/>
          <w:smallCaps/>
          <w:color w:val="A67C1A"/>
          <w:sz w:val="19"/>
          <w:szCs w:val="19"/>
        </w:rPr>
        <w:t xml:space="preserve">The Trouble with Nigeria</w:t>
      </w:r>
    </w:p>
    <w:p>
      <w:pPr>
        <w:pStyle w:val="BodyFirst"/>
      </w:pPr>
      <w:r>
        <w:t xml:space="preserve">The Church in Africa is one of the great stories of modern Christianity. Nigeria in particular has become home to some of the largest congregations and fastest-growing denominations in the world, and Nigerian ministers now serve across every continent. This growth brings great opportunity and particular temptations. The pitfalls traced in this book take specific shapes in the African context, and they must be addressed with honesty and love by those who belong to that context.</w:t>
      </w:r>
    </w:p>
    <w:p>
      <w:pPr>
        <w:pStyle w:val="Heading2"/>
      </w:pPr>
      <w:r>
        <w:t xml:space="preserve">The Legacy of the “Big Man”</w:t>
      </w:r>
    </w:p>
    <w:p>
      <w:pPr>
        <w:pStyle w:val="BodyFirst"/>
      </w:pPr>
      <w:r>
        <w:t xml:space="preserve">Scholars of African politics have long discussed the “big man” pattern of leadership, in which power is personal, patronage-based and displayed through wealth, entourage and the ability to distribute favours. This pattern bears a striking resemblance to the Roman patronage system examined in Chapter 2. When it enters the Church, the pastor becomes a patron, members become clients, and the leader’s greatness is measured by his possessions, his entourage and the deference he receives.</w:t>
      </w:r>
    </w:p>
    <w:p>
      <w:pPr>
        <w:pStyle w:val="Body"/>
      </w:pPr>
      <w:r>
        <w:t xml:space="preserve">The Nigerian novelist Chinua Achebe famously argued in 1983 that his country’s troubles were, at root, a failure of leadership, rooted in the unwillingness or inability of its leaders to rise to the responsibility and personal example that are the hallmarks of true leadership.</w:t>
      </w:r>
      <w:hyperlink w:anchor="note_17_1">
        <w:r>
          <w:rPr>
            <w:rFonts w:ascii="Times New Roman" w:cs="Times New Roman" w:eastAsia="Times New Roman" w:hAnsi="Times New Roman"/>
            <w:vertAlign w:val="superscript"/>
          </w:rPr>
          <w:t xml:space="preserve">1</w:t>
        </w:r>
      </w:hyperlink>
      <w:r>
        <w:t xml:space="preserve"> The Church cannot critique the failures of political leadership credibly if it reproduces the same patterns within its own walls.</w:t>
      </w:r>
    </w:p>
    <w:p>
      <w:pPr>
        <w:pStyle w:val="Heading2"/>
      </w:pPr>
      <w:r>
        <w:t xml:space="preserve">Prosperity, Display and the Pitfall of Greed</w:t>
      </w:r>
    </w:p>
    <w:p>
      <w:pPr>
        <w:pStyle w:val="BodyFirst"/>
      </w:pPr>
      <w:r>
        <w:t xml:space="preserve">The late Ogbu Kalu, one of the foremost historians of African Pentecostalism, documented both the remarkable vitality of the movement and the challenges posed by prosperity teaching, which in some of its forms equates material wealth with divine favour and encourages giving as a transaction.</w:t>
      </w:r>
      <w:hyperlink w:anchor="note_17_2">
        <w:r>
          <w:rPr>
            <w:rFonts w:ascii="Times New Roman" w:cs="Times New Roman" w:eastAsia="Times New Roman" w:hAnsi="Times New Roman"/>
            <w:vertAlign w:val="superscript"/>
          </w:rPr>
          <w:t xml:space="preserve">2</w:t>
        </w:r>
      </w:hyperlink>
      <w:r>
        <w:t xml:space="preserve"> Paul Gifford, studying the new churches of Ghana, likewise observed how often success, wealth and victory dominated preaching, sometimes at the expense of ethics and social responsibility.</w:t>
      </w:r>
      <w:hyperlink w:anchor="note_17_3">
        <w:r>
          <w:rPr>
            <w:rFonts w:ascii="Times New Roman" w:cs="Times New Roman" w:eastAsia="Times New Roman" w:hAnsi="Times New Roman"/>
            <w:vertAlign w:val="superscript"/>
          </w:rPr>
          <w:t xml:space="preserve">3</w:t>
        </w:r>
      </w:hyperlink>
    </w:p>
    <w:p>
      <w:pPr>
        <w:pStyle w:val="Body"/>
      </w:pPr>
      <w:r>
        <w:t xml:space="preserve">The biblical witness examined in Chapter 4 speaks directly to this context. Gehazi’s error was to turn grace into gain. The </w:t>
      </w:r>
      <w:r>
        <w:rPr>
          <w:i/>
          <w:iCs/>
        </w:rPr>
        <w:t xml:space="preserve">Didache</w:t>
      </w:r>
      <w:r>
        <w:t xml:space="preserve">‘s warning against the “Christ-monger” is as relevant in Lagos or Port Harcourt as it was in second-century Syria. This is not to deny that God blesses, nor to despise legitimate provision for those who labour in the word (1 Tim. 5:17–18). It is to insist that a leader’s lifestyle must be accountable, modest in relation to his congregation and never funded by the exploitation of the poor.</w:t>
      </w:r>
    </w:p>
    <w:p>
      <w:pPr>
        <w:pStyle w:val="Heading2"/>
      </w:pPr>
      <w:r>
        <w:t xml:space="preserve">Founder’s Syndrome and Succession</w:t>
      </w:r>
    </w:p>
    <w:p>
      <w:pPr>
        <w:pStyle w:val="BodyFirst"/>
      </w:pPr>
      <w:r>
        <w:t xml:space="preserve">Many African ministries are founded by gifted individuals who receive a vision, gather followers and build organisations around their personal calling. This founding energy is a gift, but it carries a pitfall: the organisation may become so identified with the founder that it cannot survive without him, and succession becomes a crisis rather than a transition. In some cases the ministry is treated as family property and passed to a spouse or child regardless of calling and character, the error of Eli and Samuel (Chapter 12).</w:t>
      </w:r>
    </w:p>
    <w:p>
      <w:pPr>
        <w:pStyle w:val="Body"/>
      </w:pPr>
      <w:r>
        <w:t xml:space="preserve">The history of the Redeemed Christian Church of God provides an instructive counter-example. Its founder, Pa Josiah Olufemi Akindayomi, a man of limited formal education, chose as his successor Enoch Adejare Adeboye, a university lecturer in mathematics who was neither his relative nor from his own ethnic group. Adeboye became General Overseer in 1981, and under his leadership the church grew into a global denomination.</w:t>
      </w:r>
      <w:hyperlink w:anchor="note_17_4">
        <w:r>
          <w:rPr>
            <w:rFonts w:ascii="Times New Roman" w:cs="Times New Roman" w:eastAsia="Times New Roman" w:hAnsi="Times New Roman"/>
            <w:vertAlign w:val="superscript"/>
          </w:rPr>
          <w:t xml:space="preserve">4</w:t>
        </w:r>
      </w:hyperlink>
      <w:r>
        <w:t xml:space="preserve"> Whatever one’s assessment of later developments, the decision to pass leadership according to calling rather than kinship is a model worth studying.</w:t>
      </w:r>
    </w:p>
    <w:p>
      <w:pPr>
        <w:pStyle w:val="Heading2"/>
      </w:pPr>
      <w:r>
        <w:t xml:space="preserve">Governance and the State</w:t>
      </w:r>
    </w:p>
    <w:p>
      <w:pPr>
        <w:pStyle w:val="BodyFirst"/>
      </w:pPr>
      <w:r>
        <w:t xml:space="preserve">Questions of church governance have become matters of public debate in Nigeria. In late 2016 the Financial Reporting Council of Nigeria issued a governance code for not-for-profit organisations that, among other provisions, limited the tenure of founders and heads of such bodies. In January 2017 Pastor Adeboye named Pastor Joshua Obayemi as National Overseer of the RCCG in Nigeria, citing the code, while remaining General Overseer worldwide. Within days the Federal Government suspended the code and removed the council’s executive secretary.</w:t>
      </w:r>
      <w:hyperlink w:anchor="note_17_5">
        <w:r>
          <w:rPr>
            <w:rFonts w:ascii="Times New Roman" w:cs="Times New Roman" w:eastAsia="Times New Roman" w:hAnsi="Times New Roman"/>
            <w:vertAlign w:val="superscript"/>
          </w:rPr>
          <w:t xml:space="preserve">5</w:t>
        </w:r>
      </w:hyperlink>
      <w:r>
        <w:t xml:space="preserve"> Later, the Companies and Allied Matters Act 2020 gave the Registrar-General of the Corporate Affairs Commission powers, under section 839, to suspend trustees of incorporated trustees and appoint interim managers in specified circumstances of misconduct or mismanagement, provoking strong objections from church bodies.</w:t>
      </w:r>
      <w:hyperlink w:anchor="note_17_6">
        <w:r>
          <w:rPr>
            <w:rFonts w:ascii="Times New Roman" w:cs="Times New Roman" w:eastAsia="Times New Roman" w:hAnsi="Times New Roman"/>
            <w:vertAlign w:val="superscript"/>
          </w:rPr>
          <w:t xml:space="preserve">6</w:t>
        </w:r>
      </w:hyperlink>
    </w:p>
    <w:p>
      <w:pPr>
        <w:pStyle w:val="Body"/>
      </w:pPr>
      <w:r>
        <w:t xml:space="preserve">These debates raise important questions about the proper relationship between church and state, which lie beyond the scope of this book. But they also send a clear message. When churches fail to govern themselves transparently, the state will be tempted to do it for them. The best defence of religious freedom is a Church whose financial and governance practices are above reproach, “providing for honest things, not only in the sight of the Lord, but also in the sight of men” (2 Cor. 8:21).</w:t>
      </w:r>
    </w:p>
    <w:p>
      <w:pPr>
        <w:pStyle w:val="Heading2"/>
      </w:pPr>
      <w:r>
        <w:t xml:space="preserve">The Misuse of “Touch Not Mine Anointed”</w:t>
      </w:r>
    </w:p>
    <w:p>
      <w:pPr>
        <w:pStyle w:val="BodyFirst"/>
      </w:pPr>
      <w:r>
        <w:t xml:space="preserve">In many African churches, as noted in Chapter 6, Psalm 105:15 is quoted to silence questions about a leader’s conduct. Deep cultural respect for elders and for spiritual authority, itself a valuable inheritance, can make it very difficult for members to raise concerns. Where this respect is combined with fear of spiritual curses, those harmed by leaders may suffer in silence. African churches need safe and trusted channels through which concerns can be raised, examined and, where necessary, acted upon, without either destroying reputations on the basis of rumour or protecting the guilty.</w:t>
      </w:r>
    </w:p>
    <w:p>
      <w:pPr>
        <w:pStyle w:val="Heading2"/>
      </w:pPr>
      <w:r>
        <w:t xml:space="preserve">Titles, Honour and Display</w:t>
      </w:r>
    </w:p>
    <w:p>
      <w:pPr>
        <w:pStyle w:val="BodyFirst"/>
      </w:pPr>
      <w:r>
        <w:t xml:space="preserve">Nigerian church culture is rich in titles: Bishop, Archbishop, Apostle, Prophet, General Overseer, Papa, Mummy, Daddy. Titles in themselves can express genuine respect. But when they multiply as badges of status, when leaders demand them, and when access to the leader becomes a mark of privilege, the Church drifts toward the Pharisees’ love of “greetings in the markets” and the “chief seats” (Matt. 23:6–7). The Roman culture of the </w:t>
      </w:r>
      <w:r>
        <w:rPr>
          <w:i/>
          <w:iCs/>
        </w:rPr>
        <w:t xml:space="preserve">salutatio</w:t>
      </w:r>
      <w:r>
        <w:t xml:space="preserve"> is alive wherever leaders are surrounded by protocol that keeps ordinary members at a distance.</w:t>
      </w:r>
    </w:p>
    <w:p>
      <w:pPr>
        <w:pStyle w:val="Heading2"/>
      </w:pPr>
      <w:r>
        <w:t xml:space="preserve">Signs of Hope</w:t>
      </w:r>
    </w:p>
    <w:p>
      <w:pPr>
        <w:pStyle w:val="BodyFirst"/>
      </w:pPr>
      <w:r>
        <w:t xml:space="preserve">It would be deeply unfair to present only the failings of the African Church. Across the continent, countless pastors serve faithfully in poor communities with little recognition. Many denominations have adopted audited accounts, independent boards, term limits and codes of conduct. Theological institutions increasingly teach leadership ethics, and a new generation of African theologians is producing serious biblical reflection on power and service. The </w:t>
      </w:r>
      <w:r>
        <w:rPr>
          <w:i/>
          <w:iCs/>
        </w:rPr>
        <w:t xml:space="preserve">Africa Bible Commentary</w:t>
      </w:r>
      <w:r>
        <w:t xml:space="preserve">, written entirely by African scholars, is one example of the continent’s growing theological maturity.</w:t>
      </w:r>
      <w:hyperlink w:anchor="note_17_7">
        <w:r>
          <w:rPr>
            <w:rFonts w:ascii="Times New Roman" w:cs="Times New Roman" w:eastAsia="Times New Roman" w:hAnsi="Times New Roman"/>
            <w:vertAlign w:val="superscript"/>
          </w:rPr>
          <w:t xml:space="preserve">7</w:t>
        </w:r>
      </w:hyperlink>
      <w:r>
        <w:t xml:space="preserve"> The African Church has the resources, both spiritual and intellectual, to confront the pitfalls of leadership with courage.</w:t>
      </w:r>
    </w:p>
    <w:p>
      <w:pPr>
        <w:pStyle w:val="Heading2"/>
      </w:pPr>
      <w:r>
        <w:t xml:space="preserve">Practical Implications for African Church Leaders</w:t>
      </w:r>
    </w:p>
    <w:p>
      <w:pPr>
        <w:pStyle w:val="Body"/>
        <w:numPr>
          <w:ilvl w:val="0"/>
          <w:numId w:val="2"/>
        </w:numPr>
        <w:spacing w:after="60"/>
        <w:ind w:left="432" w:hanging="288" w:firstLine="0"/>
      </w:pPr>
      <w:r>
        <w:t xml:space="preserve">Separate personal and ministry finances completely, with independent audits and published accounts.</w:t>
      </w:r>
    </w:p>
    <w:p>
      <w:pPr>
        <w:pStyle w:val="Body"/>
        <w:numPr>
          <w:ilvl w:val="0"/>
          <w:numId w:val="2"/>
        </w:numPr>
        <w:spacing w:after="60"/>
        <w:ind w:left="432" w:hanging="288" w:firstLine="0"/>
      </w:pPr>
      <w:r>
        <w:t xml:space="preserve">Establish governing boards with members who are genuinely independent of the founder and his family.</w:t>
      </w:r>
    </w:p>
    <w:p>
      <w:pPr>
        <w:pStyle w:val="Body"/>
        <w:numPr>
          <w:ilvl w:val="0"/>
          <w:numId w:val="2"/>
        </w:numPr>
        <w:spacing w:after="60"/>
        <w:ind w:left="432" w:hanging="288" w:firstLine="0"/>
      </w:pPr>
      <w:r>
        <w:t xml:space="preserve">Develop written succession plans, and prepare several potential successors on the basis of character and calling.</w:t>
      </w:r>
    </w:p>
    <w:p>
      <w:pPr>
        <w:pStyle w:val="Body"/>
        <w:numPr>
          <w:ilvl w:val="0"/>
          <w:numId w:val="2"/>
        </w:numPr>
        <w:spacing w:after="60"/>
        <w:ind w:left="432" w:hanging="288" w:firstLine="0"/>
      </w:pPr>
      <w:r>
        <w:t xml:space="preserve">Institute clear safeguarding and complaints procedures, especially for counselling, youth work and deliverance ministry.</w:t>
      </w:r>
    </w:p>
    <w:p>
      <w:pPr>
        <w:pStyle w:val="Body"/>
        <w:numPr>
          <w:ilvl w:val="0"/>
          <w:numId w:val="2"/>
        </w:numPr>
        <w:spacing w:after="60"/>
        <w:ind w:left="432" w:hanging="288" w:firstLine="0"/>
      </w:pPr>
      <w:r>
        <w:t xml:space="preserve">Model simplicity of lifestyle in proportion to the circumstances of the congregation.</w:t>
      </w:r>
    </w:p>
    <w:p>
      <w:pPr>
        <w:pStyle w:val="Body"/>
        <w:numPr>
          <w:ilvl w:val="0"/>
          <w:numId w:val="2"/>
        </w:numPr>
        <w:spacing w:after="60"/>
        <w:ind w:left="432" w:hanging="288" w:firstLine="0"/>
      </w:pPr>
      <w:r>
        <w:t xml:space="preserve">Resist titles and protocol that isolate the leader from the people.</w:t>
      </w:r>
    </w:p>
    <w:p>
      <w:pPr>
        <w:pStyle w:val="Body"/>
        <w:numPr>
          <w:ilvl w:val="0"/>
          <w:numId w:val="2"/>
        </w:numPr>
        <w:spacing w:after="60"/>
        <w:ind w:left="432" w:hanging="288" w:firstLine="0"/>
      </w:pPr>
      <w:r>
        <w:t xml:space="preserve">Take Sabbath rest and invest in family life as spiritual disciplines rather than luxuries.</w:t>
      </w:r>
    </w:p>
    <w:p>
      <w:pPr>
        <w:pStyle w:val="Body"/>
        <w:numPr>
          <w:ilvl w:val="0"/>
          <w:numId w:val="2"/>
        </w:numPr>
        <w:spacing w:after="60"/>
        <w:ind w:left="432" w:hanging="288" w:firstLine="0"/>
      </w:pPr>
      <w:r>
        <w:t xml:space="preserve">Seek out peers and mentors who are free to speak honestly.</w:t>
      </w:r>
    </w:p>
    <w:p>
      <w:pPr>
        <w:keepNext/>
        <w:pBdr>
          <w:top w:val="single" w:color="A67C1A" w:sz="6" w:space="8"/>
        </w:pBdr>
        <w:spacing w:after="120" w:before="360"/>
      </w:pPr>
      <w:r>
        <w:rPr>
          <w:b/>
          <w:bCs/>
          <w:smallCaps/>
          <w:color w:val="1F3864"/>
          <w:spacing w:val="20"/>
          <w:sz w:val="22"/>
          <w:szCs w:val="22"/>
        </w:rPr>
        <w:t xml:space="preserve">For Reflection and Discussion</w:t>
      </w:r>
    </w:p>
    <w:p>
      <w:pPr>
        <w:keepNext/>
        <w:keepLines/>
        <w:tabs>
          <w:tab w:val="left" w:pos="360"/>
        </w:tabs>
        <w:spacing w:after="80" w:line="276"/>
        <w:ind w:left="360" w:hanging="360"/>
      </w:pPr>
      <w:r>
        <w:rPr>
          <w:b/>
          <w:bCs/>
          <w:color w:val="A67C1A"/>
          <w:sz w:val="21"/>
          <w:szCs w:val="21"/>
        </w:rPr>
        <w:t xml:space="preserve">1.</w:t>
      </w:r>
      <w:r>
        <w:t xml:space="preserve">	</w:t>
      </w:r>
      <w:r>
        <w:rPr>
          <w:sz w:val="21"/>
          <w:szCs w:val="21"/>
        </w:rPr>
        <w:t xml:space="preserve">How does the “big man” model of leadership compare with the Roman patronage system described in Chapter 2?</w:t>
      </w:r>
    </w:p>
    <w:p>
      <w:pPr>
        <w:keepNext/>
        <w:keepLines/>
        <w:tabs>
          <w:tab w:val="left" w:pos="360"/>
        </w:tabs>
        <w:spacing w:after="80" w:line="276"/>
        <w:ind w:left="360" w:hanging="360"/>
      </w:pPr>
      <w:r>
        <w:rPr>
          <w:b/>
          <w:bCs/>
          <w:color w:val="A67C1A"/>
          <w:sz w:val="21"/>
          <w:szCs w:val="21"/>
        </w:rPr>
        <w:t xml:space="preserve">2.</w:t>
      </w:r>
      <w:r>
        <w:t xml:space="preserve">	</w:t>
      </w:r>
      <w:r>
        <w:rPr>
          <w:sz w:val="21"/>
          <w:szCs w:val="21"/>
        </w:rPr>
        <w:t xml:space="preserve">What is the difference between biblical teaching on God’s provision and prosperity teaching that treats wealth as proof of favour?</w:t>
      </w:r>
    </w:p>
    <w:p>
      <w:pPr>
        <w:keepNext/>
        <w:keepLines/>
        <w:tabs>
          <w:tab w:val="left" w:pos="360"/>
        </w:tabs>
        <w:spacing w:after="80" w:line="276"/>
        <w:ind w:left="360" w:hanging="360"/>
      </w:pPr>
      <w:r>
        <w:rPr>
          <w:b/>
          <w:bCs/>
          <w:color w:val="A67C1A"/>
          <w:sz w:val="21"/>
          <w:szCs w:val="21"/>
        </w:rPr>
        <w:t xml:space="preserve">3.</w:t>
      </w:r>
      <w:r>
        <w:t xml:space="preserve">	</w:t>
      </w:r>
      <w:r>
        <w:rPr>
          <w:sz w:val="21"/>
          <w:szCs w:val="21"/>
        </w:rPr>
        <w:t xml:space="preserve">What does the RCCG’s leadership transition in 1981 teach about succession?</w:t>
      </w:r>
    </w:p>
    <w:p>
      <w:pPr>
        <w:keepNext w:val="false"/>
        <w:keepLines/>
        <w:tabs>
          <w:tab w:val="left" w:pos="360"/>
        </w:tabs>
        <w:spacing w:after="80" w:line="276"/>
        <w:ind w:left="360" w:hanging="360"/>
      </w:pPr>
      <w:r>
        <w:rPr>
          <w:b/>
          <w:bCs/>
          <w:color w:val="A67C1A"/>
          <w:sz w:val="21"/>
          <w:szCs w:val="21"/>
        </w:rPr>
        <w:t xml:space="preserve">4.</w:t>
      </w:r>
      <w:r>
        <w:t xml:space="preserve">	</w:t>
      </w:r>
      <w:r>
        <w:rPr>
          <w:sz w:val="21"/>
          <w:szCs w:val="21"/>
        </w:rPr>
        <w:t xml:space="preserve">Which of the practical recommendations at the end of this chapter is most needed in your church or ministry?</w:t>
      </w:r>
    </w:p>
    <w:p>
      <w:pPr>
        <w:sectPr>
          <w:headerReference w:type="default" r:id="rId103"/>
          <w:headerReference w:type="first" r:id="rId104"/>
          <w:footerReference w:type="default" r:id="rId105"/>
          <w:footerReference w:type="first" r:id="rId106"/>
          <w:type w:val="nextPage"/>
          <w:pgSz w:w="8640" w:h="12960" w:orient="portrait"/>
          <w:pgMar w:top="1080" w:right="936" w:bottom="1008" w:left="1008" w:header="560" w:footer="520" w:gutter="0"/>
          <w:pgNumType w:fmt="decimal"/>
          <w:titlePg/>
          <w:docGrid w:linePitch="360"/>
        </w:sectPr>
      </w:pPr>
    </w:p>
    <w:p>
      <w:pPr>
        <w:spacing w:after="240"/>
        <w:jc w:val="center"/>
      </w:pPr>
      <w:r>
        <w:rPr>
          <w:b/>
          <w:bCs/>
          <w:color w:val="A67C1A"/>
          <w:spacing w:val="120"/>
          <w:sz w:val="24"/>
          <w:szCs w:val="24"/>
        </w:rPr>
        <w:t xml:space="preserve">PART FOUR</w:t>
      </w:r>
    </w:p>
    <w:p>
      <w:pPr>
        <w:spacing w:after="120"/>
        <w:jc w:val="center"/>
      </w:pPr>
      <w:r>
        <w:rPr>
          <w:color w:val="1F3864"/>
          <w:sz w:val="52"/>
          <w:szCs w:val="52"/>
        </w:rPr>
        <w:t xml:space="preserve">Guarding the Heart</w:t>
      </w:r>
    </w:p>
    <w:p>
      <w:pPr>
        <w:pBdr>
          <w:bottom w:val="single" w:color="A67C1A" w:sz="8" w:space="1"/>
        </w:pBdr>
        <w:spacing w:after="240" w:before="120"/>
        <w:ind w:left="2648" w:right="2648"/>
        <w:jc w:val="center"/>
      </w:pPr>
    </w:p>
    <w:p>
      <w:pPr>
        <w:ind w:left="720" w:right="720"/>
        <w:jc w:val="center"/>
      </w:pPr>
      <w:r>
        <w:rPr>
          <w:i/>
          <w:iCs/>
          <w:color w:val="555555"/>
          <w:sz w:val="23"/>
          <w:szCs w:val="23"/>
        </w:rPr>
        <w:t xml:space="preserve">Safeguards, maxims and the goal of finishing well</w:t>
      </w:r>
    </w:p>
    <w:p>
      <w:pPr>
        <w:sectPr>
          <w:headerReference w:type="default" r:id="rId107"/>
          <w:headerReference w:type="first" r:id="rId108"/>
          <w:footerReference w:type="default" r:id="rId109"/>
          <w:footerReference w:type="first" r:id="rId110"/>
          <w:type w:val="nextPage"/>
          <w:pgSz w:w="8640" w:h="12960" w:orient="portrait"/>
          <w:pgMar w:top="1080" w:right="936" w:bottom="1008" w:left="1008" w:header="560" w:footer="520" w:gutter="0"/>
          <w:pgNumType w:fmt="decimal"/>
          <w:vAlign w:val="center"/>
          <w:titlePg/>
          <w:docGrid w:linePitch="360"/>
        </w:sectPr>
      </w:pPr>
    </w:p>
    <w:p>
      <w:pPr>
        <w:spacing w:after="160" w:before="1300"/>
        <w:jc w:val="center"/>
      </w:pPr>
      <w:r>
        <w:rPr>
          <w:b/>
          <w:bCs/>
          <w:color w:val="A67C1A"/>
          <w:spacing w:val="60"/>
          <w:sz w:val="20"/>
          <w:szCs w:val="20"/>
        </w:rPr>
        <w:t xml:space="preserve">CHAPTER 18</w:t>
      </w:r>
    </w:p>
    <w:p>
      <w:pPr>
        <w:pStyle w:val="Heading1"/>
      </w:pPr>
      <w:bookmarkStart w:id="1092" w:name="toc_624"/>
      <w:r>
        <w:t xml:space="preserve">Safeguards: Building a Life That Does Not Fall</w:t>
      </w:r>
      <w:bookmarkEnd w:id="1092"/>
    </w:p>
    <w:p>
      <w:pPr>
        <w:spacing w:after="60" w:before="60" w:line="276"/>
        <w:ind w:left="720" w:right="720"/>
        <w:jc w:val="center"/>
      </w:pPr>
      <w:r>
        <w:rPr>
          <w:i/>
          <w:iCs/>
          <w:color w:val="555555"/>
          <w:sz w:val="21"/>
          <w:szCs w:val="21"/>
        </w:rPr>
        <w:t xml:space="preserve">Keep thy heart with all diligence; for out of it are the issues of life.</w:t>
      </w:r>
    </w:p>
    <w:p>
      <w:pPr>
        <w:spacing w:after="480"/>
        <w:jc w:val="center"/>
      </w:pPr>
      <w:r>
        <w:rPr>
          <w:color w:val="A67C1A"/>
          <w:sz w:val="19"/>
          <w:szCs w:val="19"/>
        </w:rPr>
        <w:t xml:space="preserve">— </w:t>
      </w:r>
      <w:r>
        <w:rPr>
          <w:smallCaps/>
          <w:color w:val="A67C1A"/>
          <w:sz w:val="19"/>
          <w:szCs w:val="19"/>
        </w:rPr>
        <w:t xml:space="preserve">Proverbs 4:23</w:t>
      </w:r>
    </w:p>
    <w:p>
      <w:pPr>
        <w:pStyle w:val="BodyFirst"/>
      </w:pPr>
      <w:r>
        <w:t xml:space="preserve">The purpose of studying pitfalls is not to live in fear but to walk wisely. The Bible that records the falls of Saul, Solomon and Demas also records the faithful endurance of Joseph, Daniel, Samuel and Paul. What distinguished those who stood from those who fell? Scripture, church history and contemporary experience point to a set of safeguards that, practised consistently, protect leaders from the most common pitfalls. None of them is a guarantee; only the grace of God keeps anyone from falling (Jude 24). But grace works through means, and these are among the means God uses.</w:t>
      </w:r>
    </w:p>
    <w:p>
      <w:pPr>
        <w:pStyle w:val="Heading2"/>
      </w:pPr>
      <w:r>
        <w:t xml:space="preserve">Safeguard One: A Guarded Inner Life</w:t>
      </w:r>
    </w:p>
    <w:p>
      <w:pPr>
        <w:pStyle w:val="BodyFirst"/>
      </w:pPr>
      <w:r>
        <w:t xml:space="preserve">The first and most important safeguard is a living relationship with God. Every fall examined in this book was preceded by a decline in the leader’s private walk with God. Daniel, by contrast, maintained his habit of prayer three times a day even when it became a capital offence (Dan. 6:10). His public integrity was the fruit of private devotion.</w:t>
      </w:r>
    </w:p>
    <w:p>
      <w:pPr>
        <w:pStyle w:val="Body"/>
      </w:pPr>
      <w:r>
        <w:t xml:space="preserve">Leaders must guard time for prayer, meditation on Scripture and worship that is not connected to sermon preparation or public ministry. They need to read the Bible as disciples before they read it as teachers. Jesus’s words to the disciples returning from mission are a permanent corrective: “In this rejoice not, that the spirits are subject unto you; but rather rejoice, because your names are written in heaven” (Luke 10:20). The leader’s joy must be anchored in his relationship with God rather than in his ministry’s success.</w:t>
      </w:r>
    </w:p>
    <w:p>
      <w:pPr>
        <w:pStyle w:val="Heading2"/>
      </w:pPr>
      <w:r>
        <w:t xml:space="preserve">Safeguard Two: Genuine Accountability</w:t>
      </w:r>
    </w:p>
    <w:p>
      <w:pPr>
        <w:pStyle w:val="BodyFirst"/>
      </w:pPr>
      <w:r>
        <w:t xml:space="preserve">The second safeguard is accountability that has teeth. Nathan was able to confront David; Paul was able to confront Peter; Ambrose was able to confront Theodosius. Every leader needs people who are free to speak the truth to him, who know him well enough to see beneath the surface, and whom he has authorised in advance to ask hard questions.</w:t>
      </w:r>
    </w:p>
    <w:p>
      <w:pPr>
        <w:pStyle w:val="Body"/>
      </w:pPr>
      <w:r>
        <w:t xml:space="preserve">Accountability operates at two levels. Personally, a leader needs a small circle of trusted friends or mentors outside his chain of command, people who do not depend on him for their position or livelihood. Institutionally, a ministry needs governing structures that can act independently of the leader, including in matters of finance, discipline and succession. As the Roman satirist Juvenal asked, </w:t>
      </w:r>
      <w:r>
        <w:rPr>
          <w:i/>
          <w:iCs/>
        </w:rPr>
        <w:t xml:space="preserve">Quis custodiet ipsos custodes?</w:t>
      </w:r>
      <w:r>
        <w:t xml:space="preserve">, “Who will guard the guardians themselves?”</w:t>
      </w:r>
      <w:hyperlink w:anchor="note_18_1">
        <w:r>
          <w:rPr>
            <w:rFonts w:ascii="Times New Roman" w:cs="Times New Roman" w:eastAsia="Times New Roman" w:hAnsi="Times New Roman"/>
            <w:vertAlign w:val="superscript"/>
          </w:rPr>
          <w:t xml:space="preserve">1</w:t>
        </w:r>
      </w:hyperlink>
      <w:r>
        <w:t xml:space="preserve"> In the Church, the answer must never be “no one.”</w:t>
      </w:r>
    </w:p>
    <w:p>
      <w:pPr>
        <w:pStyle w:val="Heading2"/>
      </w:pPr>
      <w:r>
        <w:t xml:space="preserve">Safeguard Three: Financial Transparency</w:t>
      </w:r>
    </w:p>
    <w:p>
      <w:pPr>
        <w:pStyle w:val="BodyFirst"/>
      </w:pPr>
      <w:r>
        <w:t xml:space="preserve">The third safeguard concerns money. Leaders should separate personal and ministry finances, ensure that more than one person handles and counts offerings, submit accounts to independent audit, and make financial information available to appropriate bodies. Their personal compensation should be set by others rather than by themselves. Paul’s practice of travelling with trusted representatives when carrying funds (2 Cor. 8:18–21) is a model of avoiding even the suspicion of impropriety.</w:t>
      </w:r>
    </w:p>
    <w:p>
      <w:pPr>
        <w:pStyle w:val="Body"/>
      </w:pPr>
      <w:r>
        <w:t xml:space="preserve">Generosity is also a safeguard. The leader who gives regularly and sacrificially breaks the power of money over his own heart. Contentment, as Paul reminds Timothy, is “great gain” (1 Tim. 6:6).</w:t>
      </w:r>
    </w:p>
    <w:p>
      <w:pPr>
        <w:pStyle w:val="Heading2"/>
      </w:pPr>
      <w:r>
        <w:t xml:space="preserve">Safeguard Four: Sexual Boundaries</w:t>
      </w:r>
    </w:p>
    <w:p>
      <w:pPr>
        <w:pStyle w:val="BodyFirst"/>
      </w:pPr>
      <w:r>
        <w:t xml:space="preserve">The fourth safeguard concerns sexual integrity. Joseph fled; Job made a covenant with his eyes; Billy Graham’s team resolved never to be alone with a woman not their wife. Leaders should establish clear, written boundaries appropriate to their context, particularly in counselling, travel, private meetings and digital communication. They should guard their marriages as their first ministry, nourish emotional intimacy with their spouses and be honest with accountability partners about temptations, including pornography. Boundaries established in calm are far stronger than resolutions made in the heat of temptation.</w:t>
      </w:r>
    </w:p>
    <w:p>
      <w:pPr>
        <w:pStyle w:val="Heading2"/>
      </w:pPr>
      <w:r>
        <w:t xml:space="preserve">Safeguard Five: Rest and Sabbath</w:t>
      </w:r>
    </w:p>
    <w:p>
      <w:pPr>
        <w:pStyle w:val="BodyFirst"/>
      </w:pPr>
      <w:r>
        <w:t xml:space="preserve">The fifth safeguard is rest. God’s command to observe the Sabbath is not merely a ritual law but a gift for human flourishing (Mark 2:27). Leaders who never rest become exhausted, irritable and vulnerable. The example of Elijah shows that physical exhaustion can distort spiritual perception. Leaders should take a regular weekly day of rest, annual leave and, where possible, periodic extended sabbaticals. They should also attend to sleep, exercise and diet, since the body is the temple of the Holy Spirit (1 Cor. 6:19).</w:t>
      </w:r>
    </w:p>
    <w:p>
      <w:pPr>
        <w:pStyle w:val="Heading2"/>
      </w:pPr>
      <w:r>
        <w:t xml:space="preserve">Safeguard Six: Shared Leadership</w:t>
      </w:r>
    </w:p>
    <w:p>
      <w:pPr>
        <w:pStyle w:val="BodyFirst"/>
      </w:pPr>
      <w:r>
        <w:t xml:space="preserve">The sixth safeguard is shared leadership. The New Testament consistently speaks of elders in the plural (Acts 14:23; 20:17; Titus 1:5). Moses learned from Jethro to share the burden. Paul worked in teams. Shared leadership distributes the load, provides mutual correction and ensures that the ministry does not depend on one person. It also creates a context in which successors can be developed naturally.</w:t>
      </w:r>
    </w:p>
    <w:p>
      <w:pPr>
        <w:pStyle w:val="Heading2"/>
      </w:pPr>
      <w:r>
        <w:t xml:space="preserve">Safeguard Seven: Humility Practised</w:t>
      </w:r>
    </w:p>
    <w:p>
      <w:pPr>
        <w:pStyle w:val="BodyFirst"/>
      </w:pPr>
      <w:r>
        <w:t xml:space="preserve">The seventh safeguard is the deliberate practice of humility. Humility is not merely a feeling but a set of habits: giving credit to others, admitting mistakes publicly, serving in unseen ways, receiving criticism without defensiveness, and remembering one’s own need of grace. Augustine’s “with you I am a Christian” is a phrase every leader should repeat. The Roman slave’s whisper to the triumphing general, “remember you are a man,” is a practice worth adopting in Christian form: after every success, the leader should deliberately return thanks to God and remember his own frailty.</w:t>
      </w:r>
    </w:p>
    <w:p>
      <w:pPr>
        <w:pStyle w:val="Heading2"/>
      </w:pPr>
      <w:r>
        <w:t xml:space="preserve">Safeguard Eight: Planned Succession</w:t>
      </w:r>
    </w:p>
    <w:p>
      <w:pPr>
        <w:pStyle w:val="BodyFirst"/>
      </w:pPr>
      <w:r>
        <w:t xml:space="preserve">The eighth safeguard is planned succession. Leaders should be investing in others from the beginning of their ministry, not merely at the end. Paul’s charge to Timothy to commit the gospel to faithful men who can teach others (2 Tim. 2:2) should shape every leader’s priorities. Succession plans should be written, known to governing bodies and reviewed regularly. The leader who is secure in God’s calling will rejoice to see others surpass him.</w:t>
      </w:r>
    </w:p>
    <w:p>
      <w:pPr>
        <w:pStyle w:val="Heading2"/>
      </w:pPr>
      <w:r>
        <w:t xml:space="preserve">Safeguard Nine: Confession and Restoration</w:t>
      </w:r>
    </w:p>
    <w:p>
      <w:pPr>
        <w:pStyle w:val="BodyFirst"/>
      </w:pPr>
      <w:r>
        <w:t xml:space="preserve">The ninth safeguard is a culture of confession. James urges believers, “Confess your faults one to another, and pray one for another, that ye may be healed” (Jas. 5:16). Leaders who can confess small failures early are far less likely to hide large ones later. Churches should cultivate environments where honesty about struggle is met with grace rather than exposure.</w:t>
      </w:r>
    </w:p>
    <w:p>
      <w:pPr>
        <w:pStyle w:val="Body"/>
      </w:pPr>
      <w:r>
        <w:t xml:space="preserve">When a leader does fall, the Church must respond with both grace and wisdom. Paul instructs, “Brethren, if a man be overtaken in a fault, ye which are spiritual, restore such an one in the spirit of meekness; considering thyself, lest thou also be tempted” (Gal. 6:1). Restoration begins with repentance, includes accountability and care for those who have been harmed, and may or may not lead to a return to public leadership. As Cyprian recognised, restoration to fellowship and restoration to office are distinct questions. The goal is the healing of the fallen leader and the protection of the flock.</w:t>
      </w:r>
    </w:p>
    <w:p>
      <w:pPr>
        <w:pStyle w:val="Heading2"/>
      </w:pPr>
      <w:r>
        <w:t xml:space="preserve">A Personal Audit</w:t>
      </w:r>
    </w:p>
    <w:p>
      <w:pPr>
        <w:pStyle w:val="BodyFirst"/>
      </w:pPr>
      <w:r>
        <w:t xml:space="preserve">The following questions may help leaders examine themselves regularly:</w:t>
      </w:r>
    </w:p>
    <w:p>
      <w:pPr>
        <w:pStyle w:val="Body"/>
        <w:numPr>
          <w:ilvl w:val="0"/>
          <w:numId w:val="2"/>
        </w:numPr>
        <w:spacing w:after="60"/>
        <w:ind w:left="432" w:hanging="288" w:firstLine="0"/>
      </w:pPr>
      <w:r>
        <w:t xml:space="preserve">When did I last spend unhurried time with God that was not related to ministry preparation?</w:t>
      </w:r>
    </w:p>
    <w:p>
      <w:pPr>
        <w:pStyle w:val="Body"/>
        <w:numPr>
          <w:ilvl w:val="0"/>
          <w:numId w:val="2"/>
        </w:numPr>
        <w:spacing w:after="60"/>
        <w:ind w:left="432" w:hanging="288" w:firstLine="0"/>
      </w:pPr>
      <w:r>
        <w:t xml:space="preserve">Who in my life is free to tell me the truth, and when did they last do so?</w:t>
      </w:r>
    </w:p>
    <w:p>
      <w:pPr>
        <w:pStyle w:val="Body"/>
        <w:numPr>
          <w:ilvl w:val="0"/>
          <w:numId w:val="2"/>
        </w:numPr>
        <w:spacing w:after="60"/>
        <w:ind w:left="432" w:hanging="288" w:firstLine="0"/>
      </w:pPr>
      <w:r>
        <w:t xml:space="preserve">Would I be comfortable if every financial transaction of my ministry were published?</w:t>
      </w:r>
    </w:p>
    <w:p>
      <w:pPr>
        <w:pStyle w:val="Body"/>
        <w:numPr>
          <w:ilvl w:val="0"/>
          <w:numId w:val="2"/>
        </w:numPr>
        <w:spacing w:after="60"/>
        <w:ind w:left="432" w:hanging="288" w:firstLine="0"/>
      </w:pPr>
      <w:r>
        <w:t xml:space="preserve">Are there any relationships or habits that I am hiding from my spouse or accountability partners?</w:t>
      </w:r>
    </w:p>
    <w:p>
      <w:pPr>
        <w:pStyle w:val="Body"/>
        <w:numPr>
          <w:ilvl w:val="0"/>
          <w:numId w:val="2"/>
        </w:numPr>
        <w:spacing w:after="60"/>
        <w:ind w:left="432" w:hanging="288" w:firstLine="0"/>
      </w:pPr>
      <w:r>
        <w:t xml:space="preserve">When did I last take a full day of rest?</w:t>
      </w:r>
    </w:p>
    <w:p>
      <w:pPr>
        <w:pStyle w:val="Body"/>
        <w:numPr>
          <w:ilvl w:val="0"/>
          <w:numId w:val="2"/>
        </w:numPr>
        <w:spacing w:after="60"/>
        <w:ind w:left="432" w:hanging="288" w:firstLine="0"/>
      </w:pPr>
      <w:r>
        <w:t xml:space="preserve">How do I respond when someone else’s ministry succeeds more than mine?</w:t>
      </w:r>
    </w:p>
    <w:p>
      <w:pPr>
        <w:pStyle w:val="Body"/>
        <w:numPr>
          <w:ilvl w:val="0"/>
          <w:numId w:val="2"/>
        </w:numPr>
        <w:spacing w:after="60"/>
        <w:ind w:left="432" w:hanging="288" w:firstLine="0"/>
      </w:pPr>
      <w:r>
        <w:t xml:space="preserve">Whom am I preparing to take my place?</w:t>
      </w:r>
    </w:p>
    <w:p>
      <w:pPr>
        <w:pStyle w:val="Body"/>
        <w:numPr>
          <w:ilvl w:val="0"/>
          <w:numId w:val="2"/>
        </w:numPr>
        <w:spacing w:after="60"/>
        <w:ind w:left="432" w:hanging="288" w:firstLine="0"/>
      </w:pPr>
      <w:r>
        <w:t xml:space="preserve">What would my family say about my priorities?</w:t>
      </w:r>
    </w:p>
    <w:p>
      <w:pPr>
        <w:pStyle w:val="Body"/>
        <w:numPr>
          <w:ilvl w:val="0"/>
          <w:numId w:val="2"/>
        </w:numPr>
        <w:spacing w:after="60"/>
        <w:ind w:left="432" w:hanging="288" w:firstLine="0"/>
      </w:pPr>
      <w:r>
        <w:t xml:space="preserve">Am I more concerned with my reputation or with my obedience?</w:t>
      </w:r>
    </w:p>
    <w:p>
      <w:pPr>
        <w:pStyle w:val="Body"/>
        <w:numPr>
          <w:ilvl w:val="0"/>
          <w:numId w:val="2"/>
        </w:numPr>
        <w:spacing w:after="60"/>
        <w:ind w:left="432" w:hanging="288" w:firstLine="0"/>
      </w:pPr>
      <w:r>
        <w:t xml:space="preserve">If I died tomorrow, would the ministry continue in faithfulness?</w:t>
      </w:r>
    </w:p>
    <w:p>
      <w:pPr>
        <w:keepNext/>
        <w:pBdr>
          <w:top w:val="single" w:color="A67C1A" w:sz="6" w:space="8"/>
        </w:pBdr>
        <w:spacing w:after="120" w:before="360"/>
      </w:pPr>
      <w:r>
        <w:rPr>
          <w:b/>
          <w:bCs/>
          <w:smallCaps/>
          <w:color w:val="1F3864"/>
          <w:spacing w:val="20"/>
          <w:sz w:val="22"/>
          <w:szCs w:val="22"/>
        </w:rPr>
        <w:t xml:space="preserve">For Reflection and Discussion</w:t>
      </w:r>
    </w:p>
    <w:p>
      <w:pPr>
        <w:keepNext/>
        <w:keepLines/>
        <w:tabs>
          <w:tab w:val="left" w:pos="360"/>
        </w:tabs>
        <w:spacing w:after="80" w:line="276"/>
        <w:ind w:left="360" w:hanging="360"/>
      </w:pPr>
      <w:r>
        <w:rPr>
          <w:b/>
          <w:bCs/>
          <w:color w:val="A67C1A"/>
          <w:sz w:val="21"/>
          <w:szCs w:val="21"/>
        </w:rPr>
        <w:t xml:space="preserve">1.</w:t>
      </w:r>
      <w:r>
        <w:t xml:space="preserve">	</w:t>
      </w:r>
      <w:r>
        <w:rPr>
          <w:sz w:val="21"/>
          <w:szCs w:val="21"/>
        </w:rPr>
        <w:t xml:space="preserve">Which of the nine safeguards is weakest in your own life at present?</w:t>
      </w:r>
    </w:p>
    <w:p>
      <w:pPr>
        <w:keepNext/>
        <w:keepLines/>
        <w:tabs>
          <w:tab w:val="left" w:pos="360"/>
        </w:tabs>
        <w:spacing w:after="80" w:line="276"/>
        <w:ind w:left="360" w:hanging="360"/>
      </w:pPr>
      <w:r>
        <w:rPr>
          <w:b/>
          <w:bCs/>
          <w:color w:val="A67C1A"/>
          <w:sz w:val="21"/>
          <w:szCs w:val="21"/>
        </w:rPr>
        <w:t xml:space="preserve">2.</w:t>
      </w:r>
      <w:r>
        <w:t xml:space="preserve">	</w:t>
      </w:r>
      <w:r>
        <w:rPr>
          <w:sz w:val="21"/>
          <w:szCs w:val="21"/>
        </w:rPr>
        <w:t xml:space="preserve">Who has authority to ask you hard questions, and have you given them permission to do so?</w:t>
      </w:r>
    </w:p>
    <w:p>
      <w:pPr>
        <w:keepNext/>
        <w:keepLines/>
        <w:tabs>
          <w:tab w:val="left" w:pos="360"/>
        </w:tabs>
        <w:spacing w:after="80" w:line="276"/>
        <w:ind w:left="360" w:hanging="360"/>
      </w:pPr>
      <w:r>
        <w:rPr>
          <w:b/>
          <w:bCs/>
          <w:color w:val="A67C1A"/>
          <w:sz w:val="21"/>
          <w:szCs w:val="21"/>
        </w:rPr>
        <w:t xml:space="preserve">3.</w:t>
      </w:r>
      <w:r>
        <w:t xml:space="preserve">	</w:t>
      </w:r>
      <w:r>
        <w:rPr>
          <w:sz w:val="21"/>
          <w:szCs w:val="21"/>
        </w:rPr>
        <w:t xml:space="preserve">Work through the personal audit questions honestly. What one step will you take this month?</w:t>
      </w:r>
    </w:p>
    <w:p>
      <w:pPr>
        <w:keepNext w:val="false"/>
        <w:keepLines/>
        <w:tabs>
          <w:tab w:val="left" w:pos="360"/>
        </w:tabs>
        <w:spacing w:after="80" w:line="276"/>
        <w:ind w:left="360" w:hanging="360"/>
      </w:pPr>
      <w:r>
        <w:rPr>
          <w:b/>
          <w:bCs/>
          <w:color w:val="A67C1A"/>
          <w:sz w:val="21"/>
          <w:szCs w:val="21"/>
        </w:rPr>
        <w:t xml:space="preserve">4.</w:t>
      </w:r>
      <w:r>
        <w:t xml:space="preserve">	</w:t>
      </w:r>
      <w:r>
        <w:rPr>
          <w:sz w:val="21"/>
          <w:szCs w:val="21"/>
        </w:rPr>
        <w:t xml:space="preserve">How should a church decide whether a fallen leader may return to public ministry?</w:t>
      </w:r>
    </w:p>
    <w:p>
      <w:pPr>
        <w:sectPr>
          <w:headerReference w:type="default" r:id="rId111"/>
          <w:headerReference w:type="first" r:id="rId112"/>
          <w:footerReference w:type="default" r:id="rId113"/>
          <w:footerReference w:type="first" r:id="rId114"/>
          <w:type w:val="nextPage"/>
          <w:pgSz w:w="8640" w:h="12960" w:orient="portrait"/>
          <w:pgMar w:top="1080" w:right="936" w:bottom="1008" w:left="1008" w:header="560" w:footer="520" w:gutter="0"/>
          <w:pgNumType w:fmt="decimal"/>
          <w:titlePg/>
          <w:docGrid w:linePitch="360"/>
        </w:sectPr>
      </w:pPr>
    </w:p>
    <w:p>
      <w:pPr>
        <w:spacing w:after="160" w:before="1300"/>
        <w:jc w:val="center"/>
      </w:pPr>
      <w:r>
        <w:rPr>
          <w:b/>
          <w:bCs/>
          <w:color w:val="A67C1A"/>
          <w:spacing w:val="60"/>
          <w:sz w:val="20"/>
          <w:szCs w:val="20"/>
        </w:rPr>
        <w:t xml:space="preserve">CHAPTER 19</w:t>
      </w:r>
    </w:p>
    <w:p>
      <w:pPr>
        <w:pStyle w:val="Heading1"/>
      </w:pPr>
      <w:bookmarkStart w:id="1093" w:name="toc_669"/>
      <w:r>
        <w:t xml:space="preserve">Maxims for Leaders: Short Sayings for Long Faithfulness</w:t>
      </w:r>
      <w:bookmarkEnd w:id="1093"/>
    </w:p>
    <w:p>
      <w:pPr>
        <w:spacing w:after="60" w:before="60" w:line="276"/>
        <w:ind w:left="720" w:right="720"/>
        <w:jc w:val="center"/>
      </w:pPr>
      <w:r>
        <w:rPr>
          <w:i/>
          <w:iCs/>
          <w:color w:val="555555"/>
          <w:sz w:val="21"/>
          <w:szCs w:val="21"/>
        </w:rPr>
        <w:t xml:space="preserve">The words of the wise are as goads, and as nails fastened by the masters of assemblies.</w:t>
      </w:r>
    </w:p>
    <w:p>
      <w:pPr>
        <w:spacing w:after="480"/>
        <w:jc w:val="center"/>
      </w:pPr>
      <w:r>
        <w:rPr>
          <w:color w:val="A67C1A"/>
          <w:sz w:val="19"/>
          <w:szCs w:val="19"/>
        </w:rPr>
        <w:t xml:space="preserve">— </w:t>
      </w:r>
      <w:r>
        <w:rPr>
          <w:smallCaps/>
          <w:color w:val="A67C1A"/>
          <w:sz w:val="19"/>
          <w:szCs w:val="19"/>
        </w:rPr>
        <w:t xml:space="preserve">Ecclesiastes 12:11</w:t>
      </w:r>
    </w:p>
    <w:p>
      <w:pPr>
        <w:pStyle w:val="BodyFirst"/>
      </w:pPr>
      <w:r>
        <w:t xml:space="preserve">Wisdom literature compresses long experience into short sayings. The book of Proverbs gathers the observations of generations into sentences that can be memorised and recalled in the moment of decision. The Preacher describes such sayings as goads that prod and nails that hold. This chapter gathers the lessons of the whole book into short maxims arranged by theme. Most are original to this book; others are drawn from Scripture, the Fathers, classical writers and traditional wisdom, and are marked as such. They are offered as goads and nails: sayings to be read slowly, written down, repeated to oneself and passed on to others.</w:t>
      </w:r>
    </w:p>
    <w:p>
      <w:pPr>
        <w:pStyle w:val="Heading2"/>
      </w:pPr>
      <w:r>
        <w:t xml:space="preserve">On Leadership Itself</w:t>
      </w:r>
    </w:p>
    <w:p>
      <w:pPr>
        <w:keepLines/>
        <w:tabs>
          <w:tab w:val="left" w:pos="360"/>
        </w:tabs>
        <w:spacing w:after="110" w:line="288"/>
        <w:ind w:left="360" w:hanging="360"/>
      </w:pPr>
      <w:r>
        <w:rPr>
          <w:color w:val="A67C1A"/>
          <w:sz w:val="14"/>
          <w:szCs w:val="14"/>
        </w:rPr>
        <w:t xml:space="preserve">◆</w:t>
      </w:r>
      <w:r>
        <w:t xml:space="preserve">	Leadership is a trust, not a trophy.</w:t>
      </w:r>
    </w:p>
    <w:p>
      <w:pPr>
        <w:keepLines/>
        <w:tabs>
          <w:tab w:val="left" w:pos="360"/>
        </w:tabs>
        <w:spacing w:after="110" w:line="288"/>
        <w:ind w:left="360" w:hanging="360"/>
      </w:pPr>
      <w:r>
        <w:rPr>
          <w:color w:val="A67C1A"/>
          <w:sz w:val="14"/>
          <w:szCs w:val="14"/>
        </w:rPr>
        <w:t xml:space="preserve">◆</w:t>
      </w:r>
      <w:r>
        <w:t xml:space="preserve">	The platform is lent; the character is owned.</w:t>
      </w:r>
    </w:p>
    <w:p>
      <w:pPr>
        <w:keepLines/>
        <w:tabs>
          <w:tab w:val="left" w:pos="360"/>
        </w:tabs>
        <w:spacing w:after="110" w:line="288"/>
        <w:ind w:left="360" w:hanging="360"/>
      </w:pPr>
      <w:r>
        <w:rPr>
          <w:color w:val="A67C1A"/>
          <w:sz w:val="14"/>
          <w:szCs w:val="14"/>
        </w:rPr>
        <w:t xml:space="preserve">◆</w:t>
      </w:r>
      <w:r>
        <w:t xml:space="preserve">	Authority is given for service, not for self.</w:t>
      </w:r>
    </w:p>
    <w:p>
      <w:pPr>
        <w:keepLines/>
        <w:tabs>
          <w:tab w:val="left" w:pos="360"/>
        </w:tabs>
        <w:spacing w:after="110" w:line="288"/>
        <w:ind w:left="360" w:hanging="360"/>
      </w:pPr>
      <w:r>
        <w:rPr>
          <w:color w:val="A67C1A"/>
          <w:sz w:val="14"/>
          <w:szCs w:val="14"/>
        </w:rPr>
        <w:t xml:space="preserve">◆</w:t>
      </w:r>
      <w:r>
        <w:t xml:space="preserve">	The throne you did not seek will not trap you as easily as the one you grasped.</w:t>
      </w:r>
    </w:p>
    <w:p>
      <w:pPr>
        <w:keepLines/>
        <w:tabs>
          <w:tab w:val="left" w:pos="360"/>
        </w:tabs>
        <w:spacing w:after="110" w:line="288"/>
        <w:ind w:left="360" w:hanging="360"/>
      </w:pPr>
      <w:r>
        <w:rPr>
          <w:color w:val="A67C1A"/>
          <w:sz w:val="14"/>
          <w:szCs w:val="14"/>
        </w:rPr>
        <w:t xml:space="preserve">◆</w:t>
      </w:r>
      <w:r>
        <w:t xml:space="preserve">	A leader is never more exposed than when he is most applauded.</w:t>
      </w:r>
    </w:p>
    <w:p>
      <w:pPr>
        <w:keepLines/>
        <w:tabs>
          <w:tab w:val="left" w:pos="360"/>
        </w:tabs>
        <w:spacing w:after="110" w:line="288"/>
        <w:ind w:left="360" w:hanging="360"/>
      </w:pPr>
      <w:r>
        <w:rPr>
          <w:color w:val="A67C1A"/>
          <w:sz w:val="14"/>
          <w:szCs w:val="14"/>
        </w:rPr>
        <w:t xml:space="preserve">◆</w:t>
      </w:r>
      <w:r>
        <w:t xml:space="preserve">	Your title will be engraved on your office door; your character will be engraved on people’s hearts.</w:t>
      </w:r>
    </w:p>
    <w:p>
      <w:pPr>
        <w:keepLines/>
        <w:tabs>
          <w:tab w:val="left" w:pos="360"/>
        </w:tabs>
        <w:spacing w:after="110" w:line="288"/>
        <w:ind w:left="360" w:hanging="360"/>
      </w:pPr>
      <w:r>
        <w:rPr>
          <w:color w:val="A67C1A"/>
          <w:sz w:val="14"/>
          <w:szCs w:val="14"/>
        </w:rPr>
        <w:t xml:space="preserve">◆</w:t>
      </w:r>
      <w:r>
        <w:t xml:space="preserve">	To lead is to go first into obedience.</w:t>
      </w:r>
    </w:p>
    <w:p>
      <w:pPr>
        <w:keepLines/>
        <w:tabs>
          <w:tab w:val="left" w:pos="360"/>
        </w:tabs>
        <w:spacing w:after="110" w:line="288"/>
        <w:ind w:left="360" w:hanging="360"/>
      </w:pPr>
      <w:r>
        <w:rPr>
          <w:color w:val="A67C1A"/>
          <w:sz w:val="14"/>
          <w:szCs w:val="14"/>
        </w:rPr>
        <w:t xml:space="preserve">◆</w:t>
      </w:r>
      <w:r>
        <w:t xml:space="preserve">	The shepherd smells like the sheep; the hireling smells like the money.</w:t>
      </w:r>
    </w:p>
    <w:p>
      <w:pPr>
        <w:keepLines/>
        <w:tabs>
          <w:tab w:val="left" w:pos="360"/>
        </w:tabs>
        <w:spacing w:after="110" w:line="288"/>
        <w:ind w:left="360" w:hanging="360"/>
      </w:pPr>
      <w:r>
        <w:rPr>
          <w:color w:val="A67C1A"/>
          <w:sz w:val="14"/>
          <w:szCs w:val="14"/>
        </w:rPr>
        <w:t xml:space="preserve">◆</w:t>
      </w:r>
      <w:r>
        <w:t xml:space="preserve">	He who cannot follow should not lead.</w:t>
      </w:r>
    </w:p>
    <w:p>
      <w:pPr>
        <w:keepLines/>
        <w:tabs>
          <w:tab w:val="left" w:pos="360"/>
        </w:tabs>
        <w:spacing w:after="110" w:line="288"/>
        <w:ind w:left="360" w:hanging="360"/>
      </w:pPr>
      <w:r>
        <w:rPr>
          <w:color w:val="A67C1A"/>
          <w:sz w:val="14"/>
          <w:szCs w:val="14"/>
        </w:rPr>
        <w:t xml:space="preserve">◆</w:t>
      </w:r>
      <w:r>
        <w:t xml:space="preserve">	Whosoever will be great among you, let him be your minister.  </w:t>
      </w:r>
      <w:r>
        <w:rPr>
          <w:i/>
          <w:iCs/>
          <w:color w:val="555555"/>
          <w:sz w:val="19"/>
          <w:szCs w:val="19"/>
        </w:rPr>
        <w:t xml:space="preserve">Matt. 20:26</w:t>
      </w:r>
    </w:p>
    <w:p>
      <w:pPr>
        <w:keepLines/>
        <w:tabs>
          <w:tab w:val="left" w:pos="360"/>
        </w:tabs>
        <w:spacing w:after="110" w:line="288"/>
        <w:ind w:left="360" w:hanging="360"/>
      </w:pPr>
      <w:r>
        <w:rPr>
          <w:color w:val="A67C1A"/>
          <w:sz w:val="14"/>
          <w:szCs w:val="14"/>
        </w:rPr>
        <w:t xml:space="preserve">◆</w:t>
      </w:r>
      <w:r>
        <w:t xml:space="preserve">	The government of souls is the art of arts.  </w:t>
      </w:r>
      <w:r>
        <w:rPr>
          <w:i/>
          <w:iCs/>
          <w:color w:val="555555"/>
          <w:sz w:val="19"/>
          <w:szCs w:val="19"/>
        </w:rPr>
        <w:t xml:space="preserve">Gregory the Great</w:t>
      </w:r>
    </w:p>
    <w:p>
      <w:pPr>
        <w:keepLines/>
        <w:tabs>
          <w:tab w:val="left" w:pos="360"/>
        </w:tabs>
        <w:spacing w:after="110" w:line="288"/>
        <w:ind w:left="360" w:hanging="360"/>
      </w:pPr>
      <w:r>
        <w:rPr>
          <w:color w:val="A67C1A"/>
          <w:sz w:val="14"/>
          <w:szCs w:val="14"/>
        </w:rPr>
        <w:t xml:space="preserve">◆</w:t>
      </w:r>
      <w:r>
        <w:t xml:space="preserve">	To profit rather than to preside.  </w:t>
      </w:r>
      <w:r>
        <w:rPr>
          <w:i/>
          <w:iCs/>
          <w:color w:val="555555"/>
          <w:sz w:val="19"/>
          <w:szCs w:val="19"/>
        </w:rPr>
        <w:t xml:space="preserve">Benedict of Nursia</w:t>
      </w:r>
    </w:p>
    <w:p>
      <w:pPr>
        <w:pStyle w:val="Heading2"/>
      </w:pPr>
      <w:r>
        <w:t xml:space="preserve">On Pride</w:t>
      </w:r>
    </w:p>
    <w:p>
      <w:pPr>
        <w:keepLines/>
        <w:tabs>
          <w:tab w:val="left" w:pos="360"/>
        </w:tabs>
        <w:spacing w:after="110" w:line="288"/>
        <w:ind w:left="360" w:hanging="360"/>
      </w:pPr>
      <w:r>
        <w:rPr>
          <w:color w:val="A67C1A"/>
          <w:sz w:val="14"/>
          <w:szCs w:val="14"/>
        </w:rPr>
        <w:t xml:space="preserve">◆</w:t>
      </w:r>
      <w:r>
        <w:t xml:space="preserve">	Pride is the pit that looks like a pinnacle.</w:t>
      </w:r>
    </w:p>
    <w:p>
      <w:pPr>
        <w:keepLines/>
        <w:tabs>
          <w:tab w:val="left" w:pos="360"/>
        </w:tabs>
        <w:spacing w:after="110" w:line="288"/>
        <w:ind w:left="360" w:hanging="360"/>
      </w:pPr>
      <w:r>
        <w:rPr>
          <w:color w:val="A67C1A"/>
          <w:sz w:val="14"/>
          <w:szCs w:val="14"/>
        </w:rPr>
        <w:t xml:space="preserve">◆</w:t>
      </w:r>
      <w:r>
        <w:t xml:space="preserve">	The higher the platform, the harder the fall.</w:t>
      </w:r>
    </w:p>
    <w:p>
      <w:pPr>
        <w:keepLines/>
        <w:tabs>
          <w:tab w:val="left" w:pos="360"/>
        </w:tabs>
        <w:spacing w:after="110" w:line="288"/>
        <w:ind w:left="360" w:hanging="360"/>
      </w:pPr>
      <w:r>
        <w:rPr>
          <w:color w:val="A67C1A"/>
          <w:sz w:val="14"/>
          <w:szCs w:val="14"/>
        </w:rPr>
        <w:t xml:space="preserve">◆</w:t>
      </w:r>
      <w:r>
        <w:t xml:space="preserve">	When you begin to believe your own publicity, you have stopped believing the gospel.</w:t>
      </w:r>
    </w:p>
    <w:p>
      <w:pPr>
        <w:keepLines/>
        <w:tabs>
          <w:tab w:val="left" w:pos="360"/>
        </w:tabs>
        <w:spacing w:after="110" w:line="288"/>
        <w:ind w:left="360" w:hanging="360"/>
      </w:pPr>
      <w:r>
        <w:rPr>
          <w:color w:val="A67C1A"/>
          <w:sz w:val="14"/>
          <w:szCs w:val="14"/>
        </w:rPr>
        <w:t xml:space="preserve">◆</w:t>
      </w:r>
      <w:r>
        <w:t xml:space="preserve">	Success is a louder tempter than failure.</w:t>
      </w:r>
    </w:p>
    <w:p>
      <w:pPr>
        <w:keepLines/>
        <w:tabs>
          <w:tab w:val="left" w:pos="360"/>
        </w:tabs>
        <w:spacing w:after="110" w:line="288"/>
        <w:ind w:left="360" w:hanging="360"/>
      </w:pPr>
      <w:r>
        <w:rPr>
          <w:color w:val="A67C1A"/>
          <w:sz w:val="14"/>
          <w:szCs w:val="14"/>
        </w:rPr>
        <w:t xml:space="preserve">◆</w:t>
      </w:r>
      <w:r>
        <w:t xml:space="preserve">	God resists the proud; do not make him your resistance.  </w:t>
      </w:r>
      <w:r>
        <w:rPr>
          <w:i/>
          <w:iCs/>
          <w:color w:val="555555"/>
          <w:sz w:val="19"/>
          <w:szCs w:val="19"/>
        </w:rPr>
        <w:t xml:space="preserve">After 1 Pet. 5:5</w:t>
      </w:r>
    </w:p>
    <w:p>
      <w:pPr>
        <w:keepLines/>
        <w:tabs>
          <w:tab w:val="left" w:pos="360"/>
        </w:tabs>
        <w:spacing w:after="110" w:line="288"/>
        <w:ind w:left="360" w:hanging="360"/>
      </w:pPr>
      <w:r>
        <w:rPr>
          <w:color w:val="A67C1A"/>
          <w:sz w:val="14"/>
          <w:szCs w:val="14"/>
        </w:rPr>
        <w:t xml:space="preserve">◆</w:t>
      </w:r>
      <w:r>
        <w:t xml:space="preserve">	The moment you are too great to serve, you are too small to lead.</w:t>
      </w:r>
    </w:p>
    <w:p>
      <w:pPr>
        <w:keepLines/>
        <w:tabs>
          <w:tab w:val="left" w:pos="360"/>
        </w:tabs>
        <w:spacing w:after="110" w:line="288"/>
        <w:ind w:left="360" w:hanging="360"/>
      </w:pPr>
      <w:r>
        <w:rPr>
          <w:color w:val="A67C1A"/>
          <w:sz w:val="14"/>
          <w:szCs w:val="14"/>
        </w:rPr>
        <w:t xml:space="preserve">◆</w:t>
      </w:r>
      <w:r>
        <w:t xml:space="preserve">	Uzziah was helped until he was strong; beware of your strength.</w:t>
      </w:r>
    </w:p>
    <w:p>
      <w:pPr>
        <w:keepLines/>
        <w:tabs>
          <w:tab w:val="left" w:pos="360"/>
        </w:tabs>
        <w:spacing w:after="110" w:line="288"/>
        <w:ind w:left="360" w:hanging="360"/>
      </w:pPr>
      <w:r>
        <w:rPr>
          <w:color w:val="A67C1A"/>
          <w:sz w:val="14"/>
          <w:szCs w:val="14"/>
        </w:rPr>
        <w:t xml:space="preserve">◆</w:t>
      </w:r>
      <w:r>
        <w:t xml:space="preserve">	Look behind you; remember you are a man.  </w:t>
      </w:r>
      <w:r>
        <w:rPr>
          <w:i/>
          <w:iCs/>
          <w:color w:val="555555"/>
          <w:sz w:val="19"/>
          <w:szCs w:val="19"/>
        </w:rPr>
        <w:t xml:space="preserve">Roman triumph, recorded by Tertullian</w:t>
      </w:r>
    </w:p>
    <w:p>
      <w:pPr>
        <w:keepLines/>
        <w:tabs>
          <w:tab w:val="left" w:pos="360"/>
        </w:tabs>
        <w:spacing w:after="110" w:line="288"/>
        <w:ind w:left="360" w:hanging="360"/>
      </w:pPr>
      <w:r>
        <w:rPr>
          <w:color w:val="A67C1A"/>
          <w:sz w:val="14"/>
          <w:szCs w:val="14"/>
        </w:rPr>
        <w:t xml:space="preserve">◆</w:t>
      </w:r>
      <w:r>
        <w:t xml:space="preserve">	For you I am a bishop; with you I am a Christian.  </w:t>
      </w:r>
      <w:r>
        <w:rPr>
          <w:i/>
          <w:iCs/>
          <w:color w:val="555555"/>
          <w:sz w:val="19"/>
          <w:szCs w:val="19"/>
        </w:rPr>
        <w:t xml:space="preserve">Augustine</w:t>
      </w:r>
    </w:p>
    <w:p>
      <w:pPr>
        <w:keepLines/>
        <w:tabs>
          <w:tab w:val="left" w:pos="360"/>
        </w:tabs>
        <w:spacing w:after="110" w:line="288"/>
        <w:ind w:left="360" w:hanging="360"/>
      </w:pPr>
      <w:r>
        <w:rPr>
          <w:color w:val="A67C1A"/>
          <w:sz w:val="14"/>
          <w:szCs w:val="14"/>
        </w:rPr>
        <w:t xml:space="preserve">◆</w:t>
      </w:r>
      <w:r>
        <w:t xml:space="preserve">	Remove justice, and what are kingdoms but great robberies?  </w:t>
      </w:r>
      <w:r>
        <w:rPr>
          <w:i/>
          <w:iCs/>
          <w:color w:val="555555"/>
          <w:sz w:val="19"/>
          <w:szCs w:val="19"/>
        </w:rPr>
        <w:t xml:space="preserve">Augustine</w:t>
      </w:r>
    </w:p>
    <w:p>
      <w:pPr>
        <w:keepLines/>
        <w:tabs>
          <w:tab w:val="left" w:pos="360"/>
        </w:tabs>
        <w:spacing w:after="110" w:line="288"/>
        <w:ind w:left="360" w:hanging="360"/>
      </w:pPr>
      <w:r>
        <w:rPr>
          <w:color w:val="A67C1A"/>
          <w:sz w:val="14"/>
          <w:szCs w:val="14"/>
        </w:rPr>
        <w:t xml:space="preserve">◆</w:t>
      </w:r>
      <w:r>
        <w:t xml:space="preserve">	Humility is not thinking less of yourself but thinking of God more.</w:t>
      </w:r>
    </w:p>
    <w:p>
      <w:pPr>
        <w:keepLines/>
        <w:tabs>
          <w:tab w:val="left" w:pos="360"/>
        </w:tabs>
        <w:spacing w:after="110" w:line="288"/>
        <w:ind w:left="360" w:hanging="360"/>
      </w:pPr>
      <w:r>
        <w:rPr>
          <w:color w:val="A67C1A"/>
          <w:sz w:val="14"/>
          <w:szCs w:val="14"/>
        </w:rPr>
        <w:t xml:space="preserve">◆</w:t>
      </w:r>
      <w:r>
        <w:t xml:space="preserve">	The towel and the basin are the true insignia of Christian office.</w:t>
      </w:r>
    </w:p>
    <w:p>
      <w:pPr>
        <w:pStyle w:val="Heading2"/>
      </w:pPr>
      <w:r>
        <w:t xml:space="preserve">On Money</w:t>
      </w:r>
    </w:p>
    <w:p>
      <w:pPr>
        <w:keepLines/>
        <w:tabs>
          <w:tab w:val="left" w:pos="360"/>
        </w:tabs>
        <w:spacing w:after="110" w:line="288"/>
        <w:ind w:left="360" w:hanging="360"/>
      </w:pPr>
      <w:r>
        <w:rPr>
          <w:color w:val="A67C1A"/>
          <w:sz w:val="14"/>
          <w:szCs w:val="14"/>
        </w:rPr>
        <w:t xml:space="preserve">◆</w:t>
      </w:r>
      <w:r>
        <w:t xml:space="preserve">	The offering is holy; count it with witnesses.</w:t>
      </w:r>
    </w:p>
    <w:p>
      <w:pPr>
        <w:keepLines/>
        <w:tabs>
          <w:tab w:val="left" w:pos="360"/>
        </w:tabs>
        <w:spacing w:after="110" w:line="288"/>
        <w:ind w:left="360" w:hanging="360"/>
      </w:pPr>
      <w:r>
        <w:rPr>
          <w:color w:val="A67C1A"/>
          <w:sz w:val="14"/>
          <w:szCs w:val="14"/>
        </w:rPr>
        <w:t xml:space="preserve">◆</w:t>
      </w:r>
      <w:r>
        <w:t xml:space="preserve">	A leader who cannot be trusted with the bag cannot be trusted with the flock.</w:t>
      </w:r>
    </w:p>
    <w:p>
      <w:pPr>
        <w:keepLines/>
        <w:tabs>
          <w:tab w:val="left" w:pos="360"/>
        </w:tabs>
        <w:spacing w:after="110" w:line="288"/>
        <w:ind w:left="360" w:hanging="360"/>
      </w:pPr>
      <w:r>
        <w:rPr>
          <w:color w:val="A67C1A"/>
          <w:sz w:val="14"/>
          <w:szCs w:val="14"/>
        </w:rPr>
        <w:t xml:space="preserve">◆</w:t>
      </w:r>
      <w:r>
        <w:t xml:space="preserve">	Grace is free; the minister who sells it has become a Gehazi.</w:t>
      </w:r>
    </w:p>
    <w:p>
      <w:pPr>
        <w:keepLines/>
        <w:tabs>
          <w:tab w:val="left" w:pos="360"/>
        </w:tabs>
        <w:spacing w:after="110" w:line="288"/>
        <w:ind w:left="360" w:hanging="360"/>
      </w:pPr>
      <w:r>
        <w:rPr>
          <w:color w:val="A67C1A"/>
          <w:sz w:val="14"/>
          <w:szCs w:val="14"/>
        </w:rPr>
        <w:t xml:space="preserve">◆</w:t>
      </w:r>
      <w:r>
        <w:t xml:space="preserve">	When money leads the ministry, the ministry has lost its leader.</w:t>
      </w:r>
    </w:p>
    <w:p>
      <w:pPr>
        <w:keepLines/>
        <w:tabs>
          <w:tab w:val="left" w:pos="360"/>
        </w:tabs>
        <w:spacing w:after="110" w:line="288"/>
        <w:ind w:left="360" w:hanging="360"/>
      </w:pPr>
      <w:r>
        <w:rPr>
          <w:color w:val="A67C1A"/>
          <w:sz w:val="14"/>
          <w:szCs w:val="14"/>
        </w:rPr>
        <w:t xml:space="preserve">◆</w:t>
      </w:r>
      <w:r>
        <w:t xml:space="preserve">	Live below your congregation’s means, not above them.</w:t>
      </w:r>
    </w:p>
    <w:p>
      <w:pPr>
        <w:keepLines/>
        <w:tabs>
          <w:tab w:val="left" w:pos="360"/>
        </w:tabs>
        <w:spacing w:after="110" w:line="288"/>
        <w:ind w:left="360" w:hanging="360"/>
      </w:pPr>
      <w:r>
        <w:rPr>
          <w:color w:val="A67C1A"/>
          <w:sz w:val="14"/>
          <w:szCs w:val="14"/>
        </w:rPr>
        <w:t xml:space="preserve">◆</w:t>
      </w:r>
      <w:r>
        <w:t xml:space="preserve">	What you hide in your house will one day be seen from the street.</w:t>
      </w:r>
    </w:p>
    <w:p>
      <w:pPr>
        <w:keepLines/>
        <w:tabs>
          <w:tab w:val="left" w:pos="360"/>
        </w:tabs>
        <w:spacing w:after="110" w:line="288"/>
        <w:ind w:left="360" w:hanging="360"/>
      </w:pPr>
      <w:r>
        <w:rPr>
          <w:color w:val="A67C1A"/>
          <w:sz w:val="14"/>
          <w:szCs w:val="14"/>
        </w:rPr>
        <w:t xml:space="preserve">◆</w:t>
      </w:r>
      <w:r>
        <w:t xml:space="preserve">	The Christ-monger trades on a name that is not his.  </w:t>
      </w:r>
      <w:r>
        <w:rPr>
          <w:i/>
          <w:iCs/>
          <w:color w:val="555555"/>
          <w:sz w:val="19"/>
          <w:szCs w:val="19"/>
        </w:rPr>
        <w:t xml:space="preserve">After the </w:t>
      </w:r>
      <w:r>
        <w:rPr>
          <w:i w:val="false"/>
          <w:iCs w:val="false"/>
          <w:color w:val="555555"/>
          <w:sz w:val="19"/>
          <w:szCs w:val="19"/>
        </w:rPr>
        <w:t xml:space="preserve">Didache</w:t>
      </w:r>
    </w:p>
    <w:p>
      <w:pPr>
        <w:keepLines/>
        <w:tabs>
          <w:tab w:val="left" w:pos="360"/>
        </w:tabs>
        <w:spacing w:after="110" w:line="288"/>
        <w:ind w:left="360" w:hanging="360"/>
      </w:pPr>
      <w:r>
        <w:rPr>
          <w:color w:val="A67C1A"/>
          <w:sz w:val="14"/>
          <w:szCs w:val="14"/>
        </w:rPr>
        <w:t xml:space="preserve">◆</w:t>
      </w:r>
      <w:r>
        <w:t xml:space="preserve">	Give freely, and money will lose its grip; hold tightly, and it will hold you.</w:t>
      </w:r>
    </w:p>
    <w:p>
      <w:pPr>
        <w:keepLines/>
        <w:tabs>
          <w:tab w:val="left" w:pos="360"/>
        </w:tabs>
        <w:spacing w:after="110" w:line="288"/>
        <w:ind w:left="360" w:hanging="360"/>
      </w:pPr>
      <w:r>
        <w:rPr>
          <w:color w:val="A67C1A"/>
          <w:sz w:val="14"/>
          <w:szCs w:val="14"/>
        </w:rPr>
        <w:t xml:space="preserve">◆</w:t>
      </w:r>
      <w:r>
        <w:t xml:space="preserve">	Transparency is cheaper than scandal.</w:t>
      </w:r>
    </w:p>
    <w:p>
      <w:pPr>
        <w:keepLines/>
        <w:tabs>
          <w:tab w:val="left" w:pos="360"/>
        </w:tabs>
        <w:spacing w:after="110" w:line="288"/>
        <w:ind w:left="360" w:hanging="360"/>
      </w:pPr>
      <w:r>
        <w:rPr>
          <w:color w:val="A67C1A"/>
          <w:sz w:val="14"/>
          <w:szCs w:val="14"/>
        </w:rPr>
        <w:t xml:space="preserve">◆</w:t>
      </w:r>
      <w:r>
        <w:t xml:space="preserve">	Godliness with contentment is great gain.  </w:t>
      </w:r>
      <w:r>
        <w:rPr>
          <w:i/>
          <w:iCs/>
          <w:color w:val="555555"/>
          <w:sz w:val="19"/>
          <w:szCs w:val="19"/>
        </w:rPr>
        <w:t xml:space="preserve">1 Tim. 6:6</w:t>
      </w:r>
    </w:p>
    <w:p>
      <w:pPr>
        <w:pStyle w:val="Heading2"/>
      </w:pPr>
      <w:r>
        <w:t xml:space="preserve">On Sexual Integrity</w:t>
      </w:r>
    </w:p>
    <w:p>
      <w:pPr>
        <w:keepLines/>
        <w:tabs>
          <w:tab w:val="left" w:pos="360"/>
        </w:tabs>
        <w:spacing w:after="110" w:line="288"/>
        <w:ind w:left="360" w:hanging="360"/>
      </w:pPr>
      <w:r>
        <w:rPr>
          <w:color w:val="A67C1A"/>
          <w:sz w:val="14"/>
          <w:szCs w:val="14"/>
        </w:rPr>
        <w:t xml:space="preserve">◆</w:t>
      </w:r>
      <w:r>
        <w:t xml:space="preserve">	Build the fence before the fire.</w:t>
      </w:r>
    </w:p>
    <w:p>
      <w:pPr>
        <w:keepLines/>
        <w:tabs>
          <w:tab w:val="left" w:pos="360"/>
        </w:tabs>
        <w:spacing w:after="110" w:line="288"/>
        <w:ind w:left="360" w:hanging="360"/>
      </w:pPr>
      <w:r>
        <w:rPr>
          <w:color w:val="A67C1A"/>
          <w:sz w:val="14"/>
          <w:szCs w:val="14"/>
        </w:rPr>
        <w:t xml:space="preserve">◆</w:t>
      </w:r>
      <w:r>
        <w:t xml:space="preserve">	Where the eyes wander, the feet will follow.</w:t>
      </w:r>
    </w:p>
    <w:p>
      <w:pPr>
        <w:keepLines/>
        <w:tabs>
          <w:tab w:val="left" w:pos="360"/>
        </w:tabs>
        <w:spacing w:after="110" w:line="288"/>
        <w:ind w:left="360" w:hanging="360"/>
      </w:pPr>
      <w:r>
        <w:rPr>
          <w:color w:val="A67C1A"/>
          <w:sz w:val="14"/>
          <w:szCs w:val="14"/>
        </w:rPr>
        <w:t xml:space="preserve">◆</w:t>
      </w:r>
      <w:r>
        <w:t xml:space="preserve">	Flee; do not negotiate.</w:t>
      </w:r>
    </w:p>
    <w:p>
      <w:pPr>
        <w:keepLines/>
        <w:tabs>
          <w:tab w:val="left" w:pos="360"/>
        </w:tabs>
        <w:spacing w:after="110" w:line="288"/>
        <w:ind w:left="360" w:hanging="360"/>
      </w:pPr>
      <w:r>
        <w:rPr>
          <w:color w:val="A67C1A"/>
          <w:sz w:val="14"/>
          <w:szCs w:val="14"/>
        </w:rPr>
        <w:t xml:space="preserve">◆</w:t>
      </w:r>
      <w:r>
        <w:t xml:space="preserve">	The idle afternoon is the enemy’s favourite hour.</w:t>
      </w:r>
    </w:p>
    <w:p>
      <w:pPr>
        <w:keepLines/>
        <w:tabs>
          <w:tab w:val="left" w:pos="360"/>
        </w:tabs>
        <w:spacing w:after="110" w:line="288"/>
        <w:ind w:left="360" w:hanging="360"/>
      </w:pPr>
      <w:r>
        <w:rPr>
          <w:color w:val="A67C1A"/>
          <w:sz w:val="14"/>
          <w:szCs w:val="14"/>
        </w:rPr>
        <w:t xml:space="preserve">◆</w:t>
      </w:r>
      <w:r>
        <w:t xml:space="preserve">	Every secret relationship is a pit in the making.</w:t>
      </w:r>
    </w:p>
    <w:p>
      <w:pPr>
        <w:keepLines/>
        <w:tabs>
          <w:tab w:val="left" w:pos="360"/>
        </w:tabs>
        <w:spacing w:after="110" w:line="288"/>
        <w:ind w:left="360" w:hanging="360"/>
      </w:pPr>
      <w:r>
        <w:rPr>
          <w:color w:val="A67C1A"/>
          <w:sz w:val="14"/>
          <w:szCs w:val="14"/>
        </w:rPr>
        <w:t xml:space="preserve">◆</w:t>
      </w:r>
      <w:r>
        <w:t xml:space="preserve">	A marriage neglected is a door left unlocked.</w:t>
      </w:r>
    </w:p>
    <w:p>
      <w:pPr>
        <w:keepLines/>
        <w:tabs>
          <w:tab w:val="left" w:pos="360"/>
        </w:tabs>
        <w:spacing w:after="110" w:line="288"/>
        <w:ind w:left="360" w:hanging="360"/>
      </w:pPr>
      <w:r>
        <w:rPr>
          <w:color w:val="A67C1A"/>
          <w:sz w:val="14"/>
          <w:szCs w:val="14"/>
        </w:rPr>
        <w:t xml:space="preserve">◆</w:t>
      </w:r>
      <w:r>
        <w:t xml:space="preserve">	Can a man take fire in his bosom, and his clothes not be burned?  </w:t>
      </w:r>
      <w:r>
        <w:rPr>
          <w:i/>
          <w:iCs/>
          <w:color w:val="555555"/>
          <w:sz w:val="19"/>
          <w:szCs w:val="19"/>
        </w:rPr>
        <w:t xml:space="preserve">Prov. 6:27</w:t>
      </w:r>
    </w:p>
    <w:p>
      <w:pPr>
        <w:keepLines/>
        <w:tabs>
          <w:tab w:val="left" w:pos="360"/>
        </w:tabs>
        <w:spacing w:after="110" w:line="288"/>
        <w:ind w:left="360" w:hanging="360"/>
      </w:pPr>
      <w:r>
        <w:rPr>
          <w:color w:val="A67C1A"/>
          <w:sz w:val="14"/>
          <w:szCs w:val="14"/>
        </w:rPr>
        <w:t xml:space="preserve">◆</w:t>
      </w:r>
      <w:r>
        <w:t xml:space="preserve">	Joseph lost his coat but kept his character.</w:t>
      </w:r>
    </w:p>
    <w:p>
      <w:pPr>
        <w:keepLines/>
        <w:tabs>
          <w:tab w:val="left" w:pos="360"/>
        </w:tabs>
        <w:spacing w:after="110" w:line="288"/>
        <w:ind w:left="360" w:hanging="360"/>
      </w:pPr>
      <w:r>
        <w:rPr>
          <w:color w:val="A67C1A"/>
          <w:sz w:val="14"/>
          <w:szCs w:val="14"/>
        </w:rPr>
        <w:t xml:space="preserve">◆</w:t>
      </w:r>
      <w:r>
        <w:t xml:space="preserve">	Never be alone where you would be ashamed to be seen.</w:t>
      </w:r>
    </w:p>
    <w:p>
      <w:pPr>
        <w:pStyle w:val="Heading2"/>
      </w:pPr>
      <w:r>
        <w:t xml:space="preserve">On Power</w:t>
      </w:r>
    </w:p>
    <w:p>
      <w:pPr>
        <w:keepLines/>
        <w:tabs>
          <w:tab w:val="left" w:pos="360"/>
        </w:tabs>
        <w:spacing w:after="110" w:line="288"/>
        <w:ind w:left="360" w:hanging="360"/>
      </w:pPr>
      <w:r>
        <w:rPr>
          <w:color w:val="A67C1A"/>
          <w:sz w:val="14"/>
          <w:szCs w:val="14"/>
        </w:rPr>
        <w:t xml:space="preserve">◆</w:t>
      </w:r>
      <w:r>
        <w:t xml:space="preserve">	Power reveals what position conceals.</w:t>
      </w:r>
    </w:p>
    <w:p>
      <w:pPr>
        <w:keepLines/>
        <w:tabs>
          <w:tab w:val="left" w:pos="360"/>
        </w:tabs>
        <w:spacing w:after="110" w:line="288"/>
        <w:ind w:left="360" w:hanging="360"/>
      </w:pPr>
      <w:r>
        <w:rPr>
          <w:color w:val="A67C1A"/>
          <w:sz w:val="14"/>
          <w:szCs w:val="14"/>
        </w:rPr>
        <w:t xml:space="preserve">◆</w:t>
      </w:r>
      <w:r>
        <w:t xml:space="preserve">	The whip becomes a scorpion when the leader stops listening.</w:t>
      </w:r>
    </w:p>
    <w:p>
      <w:pPr>
        <w:keepLines/>
        <w:tabs>
          <w:tab w:val="left" w:pos="360"/>
        </w:tabs>
        <w:spacing w:after="110" w:line="288"/>
        <w:ind w:left="360" w:hanging="360"/>
      </w:pPr>
      <w:r>
        <w:rPr>
          <w:color w:val="A67C1A"/>
          <w:sz w:val="14"/>
          <w:szCs w:val="14"/>
        </w:rPr>
        <w:t xml:space="preserve">◆</w:t>
      </w:r>
      <w:r>
        <w:t xml:space="preserve">	A leader who silences every critic has silenced his own rescue.</w:t>
      </w:r>
    </w:p>
    <w:p>
      <w:pPr>
        <w:keepLines/>
        <w:tabs>
          <w:tab w:val="left" w:pos="360"/>
        </w:tabs>
        <w:spacing w:after="110" w:line="288"/>
        <w:ind w:left="360" w:hanging="360"/>
      </w:pPr>
      <w:r>
        <w:rPr>
          <w:color w:val="A67C1A"/>
          <w:sz w:val="14"/>
          <w:szCs w:val="14"/>
        </w:rPr>
        <w:t xml:space="preserve">◆</w:t>
      </w:r>
      <w:r>
        <w:t xml:space="preserve">	Touch not the anointed; but let the anointed touch no one wrongly.</w:t>
      </w:r>
    </w:p>
    <w:p>
      <w:pPr>
        <w:keepLines/>
        <w:tabs>
          <w:tab w:val="left" w:pos="360"/>
        </w:tabs>
        <w:spacing w:after="110" w:line="288"/>
        <w:ind w:left="360" w:hanging="360"/>
      </w:pPr>
      <w:r>
        <w:rPr>
          <w:color w:val="A67C1A"/>
          <w:sz w:val="14"/>
          <w:szCs w:val="14"/>
        </w:rPr>
        <w:t xml:space="preserve">◆</w:t>
      </w:r>
      <w:r>
        <w:t xml:space="preserve">	Power tends to corrupt, and absolute power corrupts absolutely.  </w:t>
      </w:r>
      <w:r>
        <w:rPr>
          <w:i/>
          <w:iCs/>
          <w:color w:val="555555"/>
          <w:sz w:val="19"/>
          <w:szCs w:val="19"/>
        </w:rPr>
        <w:t xml:space="preserve">Lord Acton</w:t>
      </w:r>
    </w:p>
    <w:p>
      <w:pPr>
        <w:keepLines/>
        <w:tabs>
          <w:tab w:val="left" w:pos="360"/>
        </w:tabs>
        <w:spacing w:after="110" w:line="288"/>
        <w:ind w:left="360" w:hanging="360"/>
      </w:pPr>
      <w:r>
        <w:rPr>
          <w:color w:val="A67C1A"/>
          <w:sz w:val="14"/>
          <w:szCs w:val="14"/>
        </w:rPr>
        <w:t xml:space="preserve">◆</w:t>
      </w:r>
      <w:r>
        <w:t xml:space="preserve">	Who will guard the guardians themselves?  </w:t>
      </w:r>
      <w:r>
        <w:rPr>
          <w:i/>
          <w:iCs/>
          <w:color w:val="555555"/>
          <w:sz w:val="19"/>
          <w:szCs w:val="19"/>
        </w:rPr>
        <w:t xml:space="preserve">Juvenal</w:t>
      </w:r>
    </w:p>
    <w:p>
      <w:pPr>
        <w:keepLines/>
        <w:tabs>
          <w:tab w:val="left" w:pos="360"/>
        </w:tabs>
        <w:spacing w:after="110" w:line="288"/>
        <w:ind w:left="360" w:hanging="360"/>
      </w:pPr>
      <w:r>
        <w:rPr>
          <w:color w:val="A67C1A"/>
          <w:sz w:val="14"/>
          <w:szCs w:val="14"/>
        </w:rPr>
        <w:t xml:space="preserve">◆</w:t>
      </w:r>
      <w:r>
        <w:t xml:space="preserve">	Serve the people and they will serve you for ever.  </w:t>
      </w:r>
      <w:r>
        <w:rPr>
          <w:i/>
          <w:iCs/>
          <w:color w:val="555555"/>
          <w:sz w:val="19"/>
          <w:szCs w:val="19"/>
        </w:rPr>
        <w:t xml:space="preserve">After 1 Kgs. 12:7</w:t>
      </w:r>
    </w:p>
    <w:p>
      <w:pPr>
        <w:keepLines/>
        <w:tabs>
          <w:tab w:val="left" w:pos="360"/>
        </w:tabs>
        <w:spacing w:after="110" w:line="288"/>
        <w:ind w:left="360" w:hanging="360"/>
      </w:pPr>
      <w:r>
        <w:rPr>
          <w:color w:val="A67C1A"/>
          <w:sz w:val="14"/>
          <w:szCs w:val="14"/>
        </w:rPr>
        <w:t xml:space="preserve">◆</w:t>
      </w:r>
      <w:r>
        <w:t xml:space="preserve">	Do not lord it over the flock; walk before it.  </w:t>
      </w:r>
      <w:r>
        <w:rPr>
          <w:i/>
          <w:iCs/>
          <w:color w:val="555555"/>
          <w:sz w:val="19"/>
          <w:szCs w:val="19"/>
        </w:rPr>
        <w:t xml:space="preserve">After 1 Pet. 5:3</w:t>
      </w:r>
    </w:p>
    <w:p>
      <w:pPr>
        <w:keepLines/>
        <w:tabs>
          <w:tab w:val="left" w:pos="360"/>
        </w:tabs>
        <w:spacing w:after="110" w:line="288"/>
        <w:ind w:left="360" w:hanging="360"/>
      </w:pPr>
      <w:r>
        <w:rPr>
          <w:color w:val="A67C1A"/>
          <w:sz w:val="14"/>
          <w:szCs w:val="14"/>
        </w:rPr>
        <w:t xml:space="preserve">◆</w:t>
      </w:r>
      <w:r>
        <w:t xml:space="preserve">	Fear commands obedience; love commands loyalty.</w:t>
      </w:r>
    </w:p>
    <w:p>
      <w:pPr>
        <w:keepLines/>
        <w:tabs>
          <w:tab w:val="left" w:pos="360"/>
        </w:tabs>
        <w:spacing w:after="110" w:line="288"/>
        <w:ind w:left="360" w:hanging="360"/>
      </w:pPr>
      <w:r>
        <w:rPr>
          <w:color w:val="A67C1A"/>
          <w:sz w:val="14"/>
          <w:szCs w:val="14"/>
        </w:rPr>
        <w:t xml:space="preserve">◆</w:t>
      </w:r>
      <w:r>
        <w:t xml:space="preserve">	Strive to be loved rather than feared.  </w:t>
      </w:r>
      <w:r>
        <w:rPr>
          <w:i/>
          <w:iCs/>
          <w:color w:val="555555"/>
          <w:sz w:val="19"/>
          <w:szCs w:val="19"/>
        </w:rPr>
        <w:t xml:space="preserve">Benedict of Nursia</w:t>
      </w:r>
    </w:p>
    <w:p>
      <w:pPr>
        <w:pStyle w:val="Heading2"/>
      </w:pPr>
      <w:r>
        <w:t xml:space="preserve">On Jealousy and Security</w:t>
      </w:r>
    </w:p>
    <w:p>
      <w:pPr>
        <w:keepLines/>
        <w:tabs>
          <w:tab w:val="left" w:pos="360"/>
        </w:tabs>
        <w:spacing w:after="110" w:line="288"/>
        <w:ind w:left="360" w:hanging="360"/>
      </w:pPr>
      <w:r>
        <w:rPr>
          <w:color w:val="A67C1A"/>
          <w:sz w:val="14"/>
          <w:szCs w:val="14"/>
        </w:rPr>
        <w:t xml:space="preserve">◆</w:t>
      </w:r>
      <w:r>
        <w:t xml:space="preserve">	Another’s harvest does not empty your barn.</w:t>
      </w:r>
    </w:p>
    <w:p>
      <w:pPr>
        <w:keepLines/>
        <w:tabs>
          <w:tab w:val="left" w:pos="360"/>
        </w:tabs>
        <w:spacing w:after="110" w:line="288"/>
        <w:ind w:left="360" w:hanging="360"/>
      </w:pPr>
      <w:r>
        <w:rPr>
          <w:color w:val="A67C1A"/>
          <w:sz w:val="14"/>
          <w:szCs w:val="14"/>
        </w:rPr>
        <w:t xml:space="preserve">◆</w:t>
      </w:r>
      <w:r>
        <w:t xml:space="preserve">	Would God that all the Lord’s people were prophets.  </w:t>
      </w:r>
      <w:r>
        <w:rPr>
          <w:i/>
          <w:iCs/>
          <w:color w:val="555555"/>
          <w:sz w:val="19"/>
          <w:szCs w:val="19"/>
        </w:rPr>
        <w:t xml:space="preserve">Num. 11:29</w:t>
      </w:r>
    </w:p>
    <w:p>
      <w:pPr>
        <w:keepLines/>
        <w:tabs>
          <w:tab w:val="left" w:pos="360"/>
        </w:tabs>
        <w:spacing w:after="110" w:line="288"/>
        <w:ind w:left="360" w:hanging="360"/>
      </w:pPr>
      <w:r>
        <w:rPr>
          <w:color w:val="A67C1A"/>
          <w:sz w:val="14"/>
          <w:szCs w:val="14"/>
        </w:rPr>
        <w:t xml:space="preserve">◆</w:t>
      </w:r>
      <w:r>
        <w:t xml:space="preserve">	He must increase; I must decrease.  </w:t>
      </w:r>
      <w:r>
        <w:rPr>
          <w:i/>
          <w:iCs/>
          <w:color w:val="555555"/>
          <w:sz w:val="19"/>
          <w:szCs w:val="19"/>
        </w:rPr>
        <w:t xml:space="preserve">John 3:30</w:t>
      </w:r>
    </w:p>
    <w:p>
      <w:pPr>
        <w:keepLines/>
        <w:tabs>
          <w:tab w:val="left" w:pos="360"/>
        </w:tabs>
        <w:spacing w:after="110" w:line="288"/>
        <w:ind w:left="360" w:hanging="360"/>
      </w:pPr>
      <w:r>
        <w:rPr>
          <w:color w:val="A67C1A"/>
          <w:sz w:val="14"/>
          <w:szCs w:val="14"/>
        </w:rPr>
        <w:t xml:space="preserve">◆</w:t>
      </w:r>
      <w:r>
        <w:t xml:space="preserve">	A secure leader builds ladders; an insecure leader pulls them up.</w:t>
      </w:r>
    </w:p>
    <w:p>
      <w:pPr>
        <w:keepLines/>
        <w:tabs>
          <w:tab w:val="left" w:pos="360"/>
        </w:tabs>
        <w:spacing w:after="110" w:line="288"/>
        <w:ind w:left="360" w:hanging="360"/>
      </w:pPr>
      <w:r>
        <w:rPr>
          <w:color w:val="A67C1A"/>
          <w:sz w:val="14"/>
          <w:szCs w:val="14"/>
        </w:rPr>
        <w:t xml:space="preserve">◆</w:t>
      </w:r>
      <w:r>
        <w:t xml:space="preserve">	Saul lost his kingdom chasing David.</w:t>
      </w:r>
    </w:p>
    <w:p>
      <w:pPr>
        <w:keepLines/>
        <w:tabs>
          <w:tab w:val="left" w:pos="360"/>
        </w:tabs>
        <w:spacing w:after="110" w:line="288"/>
        <w:ind w:left="360" w:hanging="360"/>
      </w:pPr>
      <w:r>
        <w:rPr>
          <w:color w:val="A67C1A"/>
          <w:sz w:val="14"/>
          <w:szCs w:val="14"/>
        </w:rPr>
        <w:t xml:space="preserve">◆</w:t>
      </w:r>
      <w:r>
        <w:t xml:space="preserve">	Comparison is a thief with a crown in his bag.</w:t>
      </w:r>
    </w:p>
    <w:p>
      <w:pPr>
        <w:keepLines/>
        <w:tabs>
          <w:tab w:val="left" w:pos="360"/>
        </w:tabs>
        <w:spacing w:after="110" w:line="288"/>
        <w:ind w:left="360" w:hanging="360"/>
      </w:pPr>
      <w:r>
        <w:rPr>
          <w:color w:val="A67C1A"/>
          <w:sz w:val="14"/>
          <w:szCs w:val="14"/>
        </w:rPr>
        <w:t xml:space="preserve">◆</w:t>
      </w:r>
      <w:r>
        <w:t xml:space="preserve">	The one who fears being surpassed will never raise successors.</w:t>
      </w:r>
    </w:p>
    <w:p>
      <w:pPr>
        <w:pStyle w:val="Heading2"/>
      </w:pPr>
      <w:r>
        <w:t xml:space="preserve">On the Fear of People</w:t>
      </w:r>
    </w:p>
    <w:p>
      <w:pPr>
        <w:keepLines/>
        <w:tabs>
          <w:tab w:val="left" w:pos="360"/>
        </w:tabs>
        <w:spacing w:after="110" w:line="288"/>
        <w:ind w:left="360" w:hanging="360"/>
      </w:pPr>
      <w:r>
        <w:rPr>
          <w:color w:val="A67C1A"/>
          <w:sz w:val="14"/>
          <w:szCs w:val="14"/>
        </w:rPr>
        <w:t xml:space="preserve">◆</w:t>
      </w:r>
      <w:r>
        <w:t xml:space="preserve">	The fear of man is a snare; the fear of God is a sanctuary.  </w:t>
      </w:r>
      <w:r>
        <w:rPr>
          <w:i/>
          <w:iCs/>
          <w:color w:val="555555"/>
          <w:sz w:val="19"/>
          <w:szCs w:val="19"/>
        </w:rPr>
        <w:t xml:space="preserve">After Prov. 29:25</w:t>
      </w:r>
    </w:p>
    <w:p>
      <w:pPr>
        <w:keepLines/>
        <w:tabs>
          <w:tab w:val="left" w:pos="360"/>
        </w:tabs>
        <w:spacing w:after="110" w:line="288"/>
        <w:ind w:left="360" w:hanging="360"/>
      </w:pPr>
      <w:r>
        <w:rPr>
          <w:color w:val="A67C1A"/>
          <w:sz w:val="14"/>
          <w:szCs w:val="14"/>
        </w:rPr>
        <w:t xml:space="preserve">◆</w:t>
      </w:r>
      <w:r>
        <w:t xml:space="preserve">	Popularity is a poor compass.</w:t>
      </w:r>
    </w:p>
    <w:p>
      <w:pPr>
        <w:keepLines/>
        <w:tabs>
          <w:tab w:val="left" w:pos="360"/>
        </w:tabs>
        <w:spacing w:after="110" w:line="288"/>
        <w:ind w:left="360" w:hanging="360"/>
      </w:pPr>
      <w:r>
        <w:rPr>
          <w:color w:val="A67C1A"/>
          <w:sz w:val="14"/>
          <w:szCs w:val="14"/>
        </w:rPr>
        <w:t xml:space="preserve">◆</w:t>
      </w:r>
      <w:r>
        <w:t xml:space="preserve">	Pilate washed his hands, but not his conscience.</w:t>
      </w:r>
    </w:p>
    <w:p>
      <w:pPr>
        <w:keepLines/>
        <w:tabs>
          <w:tab w:val="left" w:pos="360"/>
        </w:tabs>
        <w:spacing w:after="110" w:line="288"/>
        <w:ind w:left="360" w:hanging="360"/>
      </w:pPr>
      <w:r>
        <w:rPr>
          <w:color w:val="A67C1A"/>
          <w:sz w:val="14"/>
          <w:szCs w:val="14"/>
        </w:rPr>
        <w:t xml:space="preserve">◆</w:t>
      </w:r>
      <w:r>
        <w:t xml:space="preserve">	A leader who gives the people whatever they ask has already left them.</w:t>
      </w:r>
    </w:p>
    <w:p>
      <w:pPr>
        <w:keepLines/>
        <w:tabs>
          <w:tab w:val="left" w:pos="360"/>
        </w:tabs>
        <w:spacing w:after="110" w:line="288"/>
        <w:ind w:left="360" w:hanging="360"/>
      </w:pPr>
      <w:r>
        <w:rPr>
          <w:color w:val="A67C1A"/>
          <w:sz w:val="14"/>
          <w:szCs w:val="14"/>
        </w:rPr>
        <w:t xml:space="preserve">◆</w:t>
      </w:r>
      <w:r>
        <w:t xml:space="preserve">	What the Lord says to me, that will I speak.  </w:t>
      </w:r>
      <w:r>
        <w:rPr>
          <w:i/>
          <w:iCs/>
          <w:color w:val="555555"/>
          <w:sz w:val="19"/>
          <w:szCs w:val="19"/>
        </w:rPr>
        <w:t xml:space="preserve">After 1 Kgs. 22:14</w:t>
      </w:r>
    </w:p>
    <w:p>
      <w:pPr>
        <w:keepLines/>
        <w:tabs>
          <w:tab w:val="left" w:pos="360"/>
        </w:tabs>
        <w:spacing w:after="110" w:line="288"/>
        <w:ind w:left="360" w:hanging="360"/>
      </w:pPr>
      <w:r>
        <w:rPr>
          <w:color w:val="A67C1A"/>
          <w:sz w:val="14"/>
          <w:szCs w:val="14"/>
        </w:rPr>
        <w:t xml:space="preserve">◆</w:t>
      </w:r>
      <w:r>
        <w:t xml:space="preserve">	If you live for applause, you will die by criticism.</w:t>
      </w:r>
    </w:p>
    <w:p>
      <w:pPr>
        <w:keepLines/>
        <w:tabs>
          <w:tab w:val="left" w:pos="360"/>
        </w:tabs>
        <w:spacing w:after="110" w:line="288"/>
        <w:ind w:left="360" w:hanging="360"/>
      </w:pPr>
      <w:r>
        <w:rPr>
          <w:color w:val="A67C1A"/>
          <w:sz w:val="14"/>
          <w:szCs w:val="14"/>
        </w:rPr>
        <w:t xml:space="preserve">◆</w:t>
      </w:r>
      <w:r>
        <w:t xml:space="preserve">	Courage is the virtue that keeps all the others honest.</w:t>
      </w:r>
    </w:p>
    <w:p>
      <w:pPr>
        <w:pStyle w:val="Heading2"/>
      </w:pPr>
      <w:r>
        <w:t xml:space="preserve">On Obedience and Presumption</w:t>
      </w:r>
    </w:p>
    <w:p>
      <w:pPr>
        <w:keepLines/>
        <w:tabs>
          <w:tab w:val="left" w:pos="360"/>
        </w:tabs>
        <w:spacing w:after="110" w:line="288"/>
        <w:ind w:left="360" w:hanging="360"/>
      </w:pPr>
      <w:r>
        <w:rPr>
          <w:color w:val="A67C1A"/>
          <w:sz w:val="14"/>
          <w:szCs w:val="14"/>
        </w:rPr>
        <w:t xml:space="preserve">◆</w:t>
      </w:r>
      <w:r>
        <w:t xml:space="preserve">	To obey is better than sacrifice.  </w:t>
      </w:r>
      <w:r>
        <w:rPr>
          <w:i/>
          <w:iCs/>
          <w:color w:val="555555"/>
          <w:sz w:val="19"/>
          <w:szCs w:val="19"/>
        </w:rPr>
        <w:t xml:space="preserve">1 Sam. 15:22</w:t>
      </w:r>
    </w:p>
    <w:p>
      <w:pPr>
        <w:keepLines/>
        <w:tabs>
          <w:tab w:val="left" w:pos="360"/>
        </w:tabs>
        <w:spacing w:after="110" w:line="288"/>
        <w:ind w:left="360" w:hanging="360"/>
      </w:pPr>
      <w:r>
        <w:rPr>
          <w:color w:val="A67C1A"/>
          <w:sz w:val="14"/>
          <w:szCs w:val="14"/>
        </w:rPr>
        <w:t xml:space="preserve">◆</w:t>
      </w:r>
      <w:r>
        <w:t xml:space="preserve">	Results do not prove righteousness; the rock gave water even when Moses disobeyed.</w:t>
      </w:r>
    </w:p>
    <w:p>
      <w:pPr>
        <w:keepLines/>
        <w:tabs>
          <w:tab w:val="left" w:pos="360"/>
        </w:tabs>
        <w:spacing w:after="110" w:line="288"/>
        <w:ind w:left="360" w:hanging="360"/>
      </w:pPr>
      <w:r>
        <w:rPr>
          <w:color w:val="A67C1A"/>
          <w:sz w:val="14"/>
          <w:szCs w:val="14"/>
        </w:rPr>
        <w:t xml:space="preserve">◆</w:t>
      </w:r>
      <w:r>
        <w:t xml:space="preserve">	Partial obedience is complete disobedience.</w:t>
      </w:r>
    </w:p>
    <w:p>
      <w:pPr>
        <w:keepLines/>
        <w:tabs>
          <w:tab w:val="left" w:pos="360"/>
        </w:tabs>
        <w:spacing w:after="110" w:line="288"/>
        <w:ind w:left="360" w:hanging="360"/>
      </w:pPr>
      <w:r>
        <w:rPr>
          <w:color w:val="A67C1A"/>
          <w:sz w:val="14"/>
          <w:szCs w:val="14"/>
        </w:rPr>
        <w:t xml:space="preserve">◆</w:t>
      </w:r>
      <w:r>
        <w:t xml:space="preserve">	God’s work must be done in God’s way.</w:t>
      </w:r>
    </w:p>
    <w:p>
      <w:pPr>
        <w:keepLines/>
        <w:tabs>
          <w:tab w:val="left" w:pos="360"/>
        </w:tabs>
        <w:spacing w:after="110" w:line="288"/>
        <w:ind w:left="360" w:hanging="360"/>
      </w:pPr>
      <w:r>
        <w:rPr>
          <w:color w:val="A67C1A"/>
          <w:sz w:val="14"/>
          <w:szCs w:val="14"/>
        </w:rPr>
        <w:t xml:space="preserve">◆</w:t>
      </w:r>
      <w:r>
        <w:t xml:space="preserve">	The new cart is still the wrong cart.</w:t>
      </w:r>
    </w:p>
    <w:p>
      <w:pPr>
        <w:keepLines/>
        <w:tabs>
          <w:tab w:val="left" w:pos="360"/>
        </w:tabs>
        <w:spacing w:after="110" w:line="288"/>
        <w:ind w:left="360" w:hanging="360"/>
      </w:pPr>
      <w:r>
        <w:rPr>
          <w:color w:val="A67C1A"/>
          <w:sz w:val="14"/>
          <w:szCs w:val="14"/>
        </w:rPr>
        <w:t xml:space="preserve">◆</w:t>
      </w:r>
      <w:r>
        <w:t xml:space="preserve">	Impatience often wears the costume of initiative.</w:t>
      </w:r>
    </w:p>
    <w:p>
      <w:pPr>
        <w:keepLines/>
        <w:tabs>
          <w:tab w:val="left" w:pos="360"/>
        </w:tabs>
        <w:spacing w:after="110" w:line="288"/>
        <w:ind w:left="360" w:hanging="360"/>
      </w:pPr>
      <w:r>
        <w:rPr>
          <w:color w:val="A67C1A"/>
          <w:sz w:val="14"/>
          <w:szCs w:val="14"/>
        </w:rPr>
        <w:t xml:space="preserve">◆</w:t>
      </w:r>
      <w:r>
        <w:t xml:space="preserve">	Wait for Samuel.</w:t>
      </w:r>
    </w:p>
    <w:p>
      <w:pPr>
        <w:pStyle w:val="Heading2"/>
      </w:pPr>
      <w:r>
        <w:t xml:space="preserve">On Rest and Isolation</w:t>
      </w:r>
    </w:p>
    <w:p>
      <w:pPr>
        <w:keepLines/>
        <w:tabs>
          <w:tab w:val="left" w:pos="360"/>
        </w:tabs>
        <w:spacing w:after="110" w:line="288"/>
        <w:ind w:left="360" w:hanging="360"/>
      </w:pPr>
      <w:r>
        <w:rPr>
          <w:color w:val="A67C1A"/>
          <w:sz w:val="14"/>
          <w:szCs w:val="14"/>
        </w:rPr>
        <w:t xml:space="preserve">◆</w:t>
      </w:r>
      <w:r>
        <w:t xml:space="preserve">	You are not the Messiah; the Messiah is Jesus.</w:t>
      </w:r>
    </w:p>
    <w:p>
      <w:pPr>
        <w:keepLines/>
        <w:tabs>
          <w:tab w:val="left" w:pos="360"/>
        </w:tabs>
        <w:spacing w:after="110" w:line="288"/>
        <w:ind w:left="360" w:hanging="360"/>
      </w:pPr>
      <w:r>
        <w:rPr>
          <w:color w:val="A67C1A"/>
          <w:sz w:val="14"/>
          <w:szCs w:val="14"/>
        </w:rPr>
        <w:t xml:space="preserve">◆</w:t>
      </w:r>
      <w:r>
        <w:t xml:space="preserve">	The one who never rests will eventually fall asleep at the wrong time.</w:t>
      </w:r>
    </w:p>
    <w:p>
      <w:pPr>
        <w:keepLines/>
        <w:tabs>
          <w:tab w:val="left" w:pos="360"/>
        </w:tabs>
        <w:spacing w:after="110" w:line="288"/>
        <w:ind w:left="360" w:hanging="360"/>
      </w:pPr>
      <w:r>
        <w:rPr>
          <w:color w:val="A67C1A"/>
          <w:sz w:val="14"/>
          <w:szCs w:val="14"/>
        </w:rPr>
        <w:t xml:space="preserve">◆</w:t>
      </w:r>
      <w:r>
        <w:t xml:space="preserve">	Elijah needed bread and sleep before he needed a sermon.</w:t>
      </w:r>
    </w:p>
    <w:p>
      <w:pPr>
        <w:keepLines/>
        <w:tabs>
          <w:tab w:val="left" w:pos="360"/>
        </w:tabs>
        <w:spacing w:after="110" w:line="288"/>
        <w:ind w:left="360" w:hanging="360"/>
      </w:pPr>
      <w:r>
        <w:rPr>
          <w:color w:val="A67C1A"/>
          <w:sz w:val="14"/>
          <w:szCs w:val="14"/>
        </w:rPr>
        <w:t xml:space="preserve">◆</w:t>
      </w:r>
      <w:r>
        <w:t xml:space="preserve">	Loneliness is the leader’s most dangerous companion.</w:t>
      </w:r>
    </w:p>
    <w:p>
      <w:pPr>
        <w:keepLines/>
        <w:tabs>
          <w:tab w:val="left" w:pos="360"/>
        </w:tabs>
        <w:spacing w:after="110" w:line="288"/>
        <w:ind w:left="360" w:hanging="360"/>
      </w:pPr>
      <w:r>
        <w:rPr>
          <w:color w:val="A67C1A"/>
          <w:sz w:val="14"/>
          <w:szCs w:val="14"/>
        </w:rPr>
        <w:t xml:space="preserve">◆</w:t>
      </w:r>
      <w:r>
        <w:t xml:space="preserve">	Share the load, or the load will break the leader and the people.  </w:t>
      </w:r>
      <w:r>
        <w:rPr>
          <w:i/>
          <w:iCs/>
          <w:color w:val="555555"/>
          <w:sz w:val="19"/>
          <w:szCs w:val="19"/>
        </w:rPr>
        <w:t xml:space="preserve">After Exod. 18:18</w:t>
      </w:r>
    </w:p>
    <w:p>
      <w:pPr>
        <w:keepLines/>
        <w:tabs>
          <w:tab w:val="left" w:pos="360"/>
        </w:tabs>
        <w:spacing w:after="110" w:line="288"/>
        <w:ind w:left="360" w:hanging="360"/>
      </w:pPr>
      <w:r>
        <w:rPr>
          <w:color w:val="A67C1A"/>
          <w:sz w:val="14"/>
          <w:szCs w:val="14"/>
        </w:rPr>
        <w:t xml:space="preserve">◆</w:t>
      </w:r>
      <w:r>
        <w:t xml:space="preserve">	Come apart and rest a while, or you will come apart.  </w:t>
      </w:r>
      <w:r>
        <w:rPr>
          <w:i/>
          <w:iCs/>
          <w:color w:val="555555"/>
          <w:sz w:val="19"/>
          <w:szCs w:val="19"/>
        </w:rPr>
        <w:t xml:space="preserve">After Mark 6:31</w:t>
      </w:r>
    </w:p>
    <w:p>
      <w:pPr>
        <w:keepLines/>
        <w:tabs>
          <w:tab w:val="left" w:pos="360"/>
        </w:tabs>
        <w:spacing w:after="110" w:line="288"/>
        <w:ind w:left="360" w:hanging="360"/>
      </w:pPr>
      <w:r>
        <w:rPr>
          <w:color w:val="A67C1A"/>
          <w:sz w:val="14"/>
          <w:szCs w:val="14"/>
        </w:rPr>
        <w:t xml:space="preserve">◆</w:t>
      </w:r>
      <w:r>
        <w:t xml:space="preserve">	If you want to go fast, go alone; if you want to go far, go together.  </w:t>
      </w:r>
      <w:r>
        <w:rPr>
          <w:i/>
          <w:iCs/>
          <w:color w:val="555555"/>
          <w:sz w:val="19"/>
          <w:szCs w:val="19"/>
        </w:rPr>
        <w:t xml:space="preserve">African proverb</w:t>
      </w:r>
    </w:p>
    <w:p>
      <w:pPr>
        <w:pStyle w:val="Heading2"/>
      </w:pPr>
      <w:r>
        <w:t xml:space="preserve">On Family and Succession</w:t>
      </w:r>
    </w:p>
    <w:p>
      <w:pPr>
        <w:keepLines/>
        <w:tabs>
          <w:tab w:val="left" w:pos="360"/>
        </w:tabs>
        <w:spacing w:after="110" w:line="288"/>
        <w:ind w:left="360" w:hanging="360"/>
      </w:pPr>
      <w:r>
        <w:rPr>
          <w:color w:val="A67C1A"/>
          <w:sz w:val="14"/>
          <w:szCs w:val="14"/>
        </w:rPr>
        <w:t xml:space="preserve">◆</w:t>
      </w:r>
      <w:r>
        <w:t xml:space="preserve">	Your first congregation lives in your house.</w:t>
      </w:r>
    </w:p>
    <w:p>
      <w:pPr>
        <w:keepLines/>
        <w:tabs>
          <w:tab w:val="left" w:pos="360"/>
        </w:tabs>
        <w:spacing w:after="110" w:line="288"/>
        <w:ind w:left="360" w:hanging="360"/>
      </w:pPr>
      <w:r>
        <w:rPr>
          <w:color w:val="A67C1A"/>
          <w:sz w:val="14"/>
          <w:szCs w:val="14"/>
        </w:rPr>
        <w:t xml:space="preserve">◆</w:t>
      </w:r>
      <w:r>
        <w:t xml:space="preserve">	Eli honoured his sons above God and lost both.</w:t>
      </w:r>
    </w:p>
    <w:p>
      <w:pPr>
        <w:keepLines/>
        <w:tabs>
          <w:tab w:val="left" w:pos="360"/>
        </w:tabs>
        <w:spacing w:after="110" w:line="288"/>
        <w:ind w:left="360" w:hanging="360"/>
      </w:pPr>
      <w:r>
        <w:rPr>
          <w:color w:val="A67C1A"/>
          <w:sz w:val="14"/>
          <w:szCs w:val="14"/>
        </w:rPr>
        <w:t xml:space="preserve">◆</w:t>
      </w:r>
      <w:r>
        <w:t xml:space="preserve">	The anointing is not an inheritance; do not bequeath what God must bestow.</w:t>
      </w:r>
    </w:p>
    <w:p>
      <w:pPr>
        <w:keepLines/>
        <w:tabs>
          <w:tab w:val="left" w:pos="360"/>
        </w:tabs>
        <w:spacing w:after="110" w:line="288"/>
        <w:ind w:left="360" w:hanging="360"/>
      </w:pPr>
      <w:r>
        <w:rPr>
          <w:color w:val="A67C1A"/>
          <w:sz w:val="14"/>
          <w:szCs w:val="14"/>
        </w:rPr>
        <w:t xml:space="preserve">◆</w:t>
      </w:r>
      <w:r>
        <w:t xml:space="preserve">	Success without a successor is failure.</w:t>
      </w:r>
    </w:p>
    <w:p>
      <w:pPr>
        <w:keepLines/>
        <w:tabs>
          <w:tab w:val="left" w:pos="360"/>
        </w:tabs>
        <w:spacing w:after="110" w:line="288"/>
        <w:ind w:left="360" w:hanging="360"/>
      </w:pPr>
      <w:r>
        <w:rPr>
          <w:color w:val="A67C1A"/>
          <w:sz w:val="14"/>
          <w:szCs w:val="14"/>
        </w:rPr>
        <w:t xml:space="preserve">◆</w:t>
      </w:r>
      <w:r>
        <w:t xml:space="preserve">	Train the Joshua while Moses is still strong.</w:t>
      </w:r>
    </w:p>
    <w:p>
      <w:pPr>
        <w:keepLines/>
        <w:tabs>
          <w:tab w:val="left" w:pos="360"/>
        </w:tabs>
        <w:spacing w:after="110" w:line="288"/>
        <w:ind w:left="360" w:hanging="360"/>
      </w:pPr>
      <w:r>
        <w:rPr>
          <w:color w:val="A67C1A"/>
          <w:sz w:val="14"/>
          <w:szCs w:val="14"/>
        </w:rPr>
        <w:t xml:space="preserve">◆</w:t>
      </w:r>
      <w:r>
        <w:t xml:space="preserve">	The generation that forgets is born to the generation that failed to tell.</w:t>
      </w:r>
    </w:p>
    <w:p>
      <w:pPr>
        <w:keepLines/>
        <w:tabs>
          <w:tab w:val="left" w:pos="360"/>
        </w:tabs>
        <w:spacing w:after="110" w:line="288"/>
        <w:ind w:left="360" w:hanging="360"/>
      </w:pPr>
      <w:r>
        <w:rPr>
          <w:color w:val="A67C1A"/>
          <w:sz w:val="14"/>
          <w:szCs w:val="14"/>
        </w:rPr>
        <w:t xml:space="preserve">◆</w:t>
      </w:r>
      <w:r>
        <w:t xml:space="preserve">	Peace in my days is not enough.  </w:t>
      </w:r>
      <w:r>
        <w:rPr>
          <w:i/>
          <w:iCs/>
          <w:color w:val="555555"/>
          <w:sz w:val="19"/>
          <w:szCs w:val="19"/>
        </w:rPr>
        <w:t xml:space="preserve">After 2 Kgs. 20:19</w:t>
      </w:r>
    </w:p>
    <w:p>
      <w:pPr>
        <w:keepLines/>
        <w:tabs>
          <w:tab w:val="left" w:pos="360"/>
        </w:tabs>
        <w:spacing w:after="110" w:line="288"/>
        <w:ind w:left="360" w:hanging="360"/>
      </w:pPr>
      <w:r>
        <w:rPr>
          <w:color w:val="A67C1A"/>
          <w:sz w:val="14"/>
          <w:szCs w:val="14"/>
        </w:rPr>
        <w:t xml:space="preserve">◆</w:t>
      </w:r>
      <w:r>
        <w:t xml:space="preserve">	Pass the baton, not the burden.</w:t>
      </w:r>
    </w:p>
    <w:p>
      <w:pPr>
        <w:keepLines/>
        <w:tabs>
          <w:tab w:val="left" w:pos="360"/>
        </w:tabs>
        <w:spacing w:after="110" w:line="288"/>
        <w:ind w:left="360" w:hanging="360"/>
      </w:pPr>
      <w:r>
        <w:rPr>
          <w:color w:val="A67C1A"/>
          <w:sz w:val="14"/>
          <w:szCs w:val="14"/>
        </w:rPr>
        <w:t xml:space="preserve">◆</w:t>
      </w:r>
      <w:r>
        <w:t xml:space="preserve">	Measure your ministry by what continues when you are gone.</w:t>
      </w:r>
    </w:p>
    <w:p>
      <w:pPr>
        <w:pStyle w:val="Heading2"/>
      </w:pPr>
      <w:r>
        <w:t xml:space="preserve">On Finishing Well</w:t>
      </w:r>
    </w:p>
    <w:p>
      <w:pPr>
        <w:keepLines/>
        <w:tabs>
          <w:tab w:val="left" w:pos="360"/>
        </w:tabs>
        <w:spacing w:after="110" w:line="288"/>
        <w:ind w:left="360" w:hanging="360"/>
      </w:pPr>
      <w:r>
        <w:rPr>
          <w:color w:val="A67C1A"/>
          <w:sz w:val="14"/>
          <w:szCs w:val="14"/>
        </w:rPr>
        <w:t xml:space="preserve">◆</w:t>
      </w:r>
      <w:r>
        <w:t xml:space="preserve">	It is not how you start but how you finish.</w:t>
      </w:r>
    </w:p>
    <w:p>
      <w:pPr>
        <w:keepLines/>
        <w:tabs>
          <w:tab w:val="left" w:pos="360"/>
        </w:tabs>
        <w:spacing w:after="110" w:line="288"/>
        <w:ind w:left="360" w:hanging="360"/>
      </w:pPr>
      <w:r>
        <w:rPr>
          <w:color w:val="A67C1A"/>
          <w:sz w:val="14"/>
          <w:szCs w:val="14"/>
        </w:rPr>
        <w:t xml:space="preserve">◆</w:t>
      </w:r>
      <w:r>
        <w:t xml:space="preserve">	The last mile is the most dangerous.</w:t>
      </w:r>
    </w:p>
    <w:p>
      <w:pPr>
        <w:keepLines/>
        <w:tabs>
          <w:tab w:val="left" w:pos="360"/>
        </w:tabs>
        <w:spacing w:after="110" w:line="288"/>
        <w:ind w:left="360" w:hanging="360"/>
      </w:pPr>
      <w:r>
        <w:rPr>
          <w:color w:val="A67C1A"/>
          <w:sz w:val="14"/>
          <w:szCs w:val="14"/>
        </w:rPr>
        <w:t xml:space="preserve">◆</w:t>
      </w:r>
      <w:r>
        <w:t xml:space="preserve">	Borrowed faith fails when the lender dies.  </w:t>
      </w:r>
      <w:r>
        <w:rPr>
          <w:i/>
          <w:iCs/>
          <w:color w:val="555555"/>
          <w:sz w:val="19"/>
          <w:szCs w:val="19"/>
        </w:rPr>
        <w:t xml:space="preserve">After Joash</w:t>
      </w:r>
    </w:p>
    <w:p>
      <w:pPr>
        <w:keepLines/>
        <w:tabs>
          <w:tab w:val="left" w:pos="360"/>
        </w:tabs>
        <w:spacing w:after="110" w:line="288"/>
        <w:ind w:left="360" w:hanging="360"/>
      </w:pPr>
      <w:r>
        <w:rPr>
          <w:color w:val="A67C1A"/>
          <w:sz w:val="14"/>
          <w:szCs w:val="14"/>
        </w:rPr>
        <w:t xml:space="preserve">◆</w:t>
      </w:r>
      <w:r>
        <w:t xml:space="preserve">	Demas did not fall in one day.</w:t>
      </w:r>
    </w:p>
    <w:p>
      <w:pPr>
        <w:keepLines/>
        <w:tabs>
          <w:tab w:val="left" w:pos="360"/>
        </w:tabs>
        <w:spacing w:after="110" w:line="288"/>
        <w:ind w:left="360" w:hanging="360"/>
      </w:pPr>
      <w:r>
        <w:rPr>
          <w:color w:val="A67C1A"/>
          <w:sz w:val="14"/>
          <w:szCs w:val="14"/>
        </w:rPr>
        <w:t xml:space="preserve">◆</w:t>
      </w:r>
      <w:r>
        <w:t xml:space="preserve">	I have fought a good fight, I have finished my course, I have kept the faith.  </w:t>
      </w:r>
      <w:r>
        <w:rPr>
          <w:i/>
          <w:iCs/>
          <w:color w:val="555555"/>
          <w:sz w:val="19"/>
          <w:szCs w:val="19"/>
        </w:rPr>
        <w:t xml:space="preserve">2 Tim. 4:7</w:t>
      </w:r>
    </w:p>
    <w:p>
      <w:pPr>
        <w:keepLines/>
        <w:tabs>
          <w:tab w:val="left" w:pos="360"/>
        </w:tabs>
        <w:spacing w:after="110" w:line="288"/>
        <w:ind w:left="360" w:hanging="360"/>
      </w:pPr>
      <w:r>
        <w:rPr>
          <w:color w:val="A67C1A"/>
          <w:sz w:val="14"/>
          <w:szCs w:val="14"/>
        </w:rPr>
        <w:t xml:space="preserve">◆</w:t>
      </w:r>
      <w:r>
        <w:t xml:space="preserve">	Whose ox have I taken? Every leader should be able to ask this at the end.  </w:t>
      </w:r>
      <w:r>
        <w:rPr>
          <w:i/>
          <w:iCs/>
          <w:color w:val="555555"/>
          <w:sz w:val="19"/>
          <w:szCs w:val="19"/>
        </w:rPr>
        <w:t xml:space="preserve">After 1 Sam. 12:3</w:t>
      </w:r>
    </w:p>
    <w:p>
      <w:pPr>
        <w:keepLines/>
        <w:tabs>
          <w:tab w:val="left" w:pos="360"/>
        </w:tabs>
        <w:spacing w:after="110" w:line="288"/>
        <w:ind w:left="360" w:hanging="360"/>
      </w:pPr>
      <w:r>
        <w:rPr>
          <w:color w:val="A67C1A"/>
          <w:sz w:val="14"/>
          <w:szCs w:val="14"/>
        </w:rPr>
        <w:t xml:space="preserve">◆</w:t>
      </w:r>
      <w:r>
        <w:t xml:space="preserve">	Keep under your body, lest having preached to others you yourself be a castaway.  </w:t>
      </w:r>
      <w:r>
        <w:rPr>
          <w:i/>
          <w:iCs/>
          <w:color w:val="555555"/>
          <w:sz w:val="19"/>
          <w:szCs w:val="19"/>
        </w:rPr>
        <w:t xml:space="preserve">After 1 Cor. 9:27</w:t>
      </w:r>
    </w:p>
    <w:p>
      <w:pPr>
        <w:keepLines/>
        <w:tabs>
          <w:tab w:val="left" w:pos="360"/>
        </w:tabs>
        <w:spacing w:after="110" w:line="288"/>
        <w:ind w:left="360" w:hanging="360"/>
      </w:pPr>
      <w:r>
        <w:rPr>
          <w:color w:val="A67C1A"/>
          <w:sz w:val="14"/>
          <w:szCs w:val="14"/>
        </w:rPr>
        <w:t xml:space="preserve">◆</w:t>
      </w:r>
      <w:r>
        <w:t xml:space="preserve">	Guard your heart in the evening as you guarded it in the morning.</w:t>
      </w:r>
    </w:p>
    <w:p>
      <w:pPr>
        <w:pStyle w:val="Heading2"/>
      </w:pPr>
      <w:r>
        <w:t xml:space="preserve">On Accountability and Restoration</w:t>
      </w:r>
    </w:p>
    <w:p>
      <w:pPr>
        <w:keepLines/>
        <w:tabs>
          <w:tab w:val="left" w:pos="360"/>
        </w:tabs>
        <w:spacing w:after="110" w:line="288"/>
        <w:ind w:left="360" w:hanging="360"/>
      </w:pPr>
      <w:r>
        <w:rPr>
          <w:color w:val="A67C1A"/>
          <w:sz w:val="14"/>
          <w:szCs w:val="14"/>
        </w:rPr>
        <w:t xml:space="preserve">◆</w:t>
      </w:r>
      <w:r>
        <w:t xml:space="preserve">	Accountability is not an insult; it is insurance.</w:t>
      </w:r>
    </w:p>
    <w:p>
      <w:pPr>
        <w:keepLines/>
        <w:tabs>
          <w:tab w:val="left" w:pos="360"/>
        </w:tabs>
        <w:spacing w:after="110" w:line="288"/>
        <w:ind w:left="360" w:hanging="360"/>
      </w:pPr>
      <w:r>
        <w:rPr>
          <w:color w:val="A67C1A"/>
          <w:sz w:val="14"/>
          <w:szCs w:val="14"/>
        </w:rPr>
        <w:t xml:space="preserve">◆</w:t>
      </w:r>
      <w:r>
        <w:t xml:space="preserve">	Invite Nathan before you need him.</w:t>
      </w:r>
    </w:p>
    <w:p>
      <w:pPr>
        <w:keepLines/>
        <w:tabs>
          <w:tab w:val="left" w:pos="360"/>
        </w:tabs>
        <w:spacing w:after="110" w:line="288"/>
        <w:ind w:left="360" w:hanging="360"/>
      </w:pPr>
      <w:r>
        <w:rPr>
          <w:color w:val="A67C1A"/>
          <w:sz w:val="14"/>
          <w:szCs w:val="14"/>
        </w:rPr>
        <w:t xml:space="preserve">◆</w:t>
      </w:r>
      <w:r>
        <w:t xml:space="preserve">	Confess early and you will seldom need to confess publicly.</w:t>
      </w:r>
    </w:p>
    <w:p>
      <w:pPr>
        <w:keepLines/>
        <w:tabs>
          <w:tab w:val="left" w:pos="360"/>
        </w:tabs>
        <w:spacing w:after="110" w:line="288"/>
        <w:ind w:left="360" w:hanging="360"/>
      </w:pPr>
      <w:r>
        <w:rPr>
          <w:color w:val="A67C1A"/>
          <w:sz w:val="14"/>
          <w:szCs w:val="14"/>
        </w:rPr>
        <w:t xml:space="preserve">◆</w:t>
      </w:r>
      <w:r>
        <w:t xml:space="preserve">	The Church may restore a brother to the table before it restores him to the pulpit.</w:t>
      </w:r>
    </w:p>
    <w:p>
      <w:pPr>
        <w:keepLines/>
        <w:tabs>
          <w:tab w:val="left" w:pos="360"/>
        </w:tabs>
        <w:spacing w:after="110" w:line="288"/>
        <w:ind w:left="360" w:hanging="360"/>
      </w:pPr>
      <w:r>
        <w:rPr>
          <w:color w:val="A67C1A"/>
          <w:sz w:val="14"/>
          <w:szCs w:val="14"/>
        </w:rPr>
        <w:t xml:space="preserve">◆</w:t>
      </w:r>
      <w:r>
        <w:t xml:space="preserve">	Protect the wounded before you protect the reputation.</w:t>
      </w:r>
    </w:p>
    <w:p>
      <w:pPr>
        <w:keepLines/>
        <w:tabs>
          <w:tab w:val="left" w:pos="360"/>
        </w:tabs>
        <w:spacing w:after="110" w:line="288"/>
        <w:ind w:left="360" w:hanging="360"/>
      </w:pPr>
      <w:r>
        <w:rPr>
          <w:color w:val="A67C1A"/>
          <w:sz w:val="14"/>
          <w:szCs w:val="14"/>
        </w:rPr>
        <w:t xml:space="preserve">◆</w:t>
      </w:r>
      <w:r>
        <w:t xml:space="preserve">	Restore in meekness, remembering that you too may fall.  </w:t>
      </w:r>
      <w:r>
        <w:rPr>
          <w:i/>
          <w:iCs/>
          <w:color w:val="555555"/>
          <w:sz w:val="19"/>
          <w:szCs w:val="19"/>
        </w:rPr>
        <w:t xml:space="preserve">After Gal. 6:1</w:t>
      </w:r>
    </w:p>
    <w:p>
      <w:pPr>
        <w:keepLines/>
        <w:tabs>
          <w:tab w:val="left" w:pos="360"/>
        </w:tabs>
        <w:spacing w:after="110" w:line="288"/>
        <w:ind w:left="360" w:hanging="360"/>
      </w:pPr>
      <w:r>
        <w:rPr>
          <w:color w:val="A67C1A"/>
          <w:sz w:val="14"/>
          <w:szCs w:val="14"/>
        </w:rPr>
        <w:t xml:space="preserve">◆</w:t>
      </w:r>
      <w:r>
        <w:t xml:space="preserve">	Let him that thinketh he standeth take heed lest he fall.  </w:t>
      </w:r>
      <w:r>
        <w:rPr>
          <w:i/>
          <w:iCs/>
          <w:color w:val="555555"/>
          <w:sz w:val="19"/>
          <w:szCs w:val="19"/>
        </w:rPr>
        <w:t xml:space="preserve">1 Cor. 10:12</w:t>
      </w:r>
    </w:p>
    <w:p>
      <w:pPr>
        <w:keepLines/>
        <w:tabs>
          <w:tab w:val="left" w:pos="360"/>
        </w:tabs>
        <w:spacing w:after="110" w:line="288"/>
        <w:ind w:left="360" w:hanging="360"/>
      </w:pPr>
      <w:r>
        <w:rPr>
          <w:color w:val="A67C1A"/>
          <w:sz w:val="14"/>
          <w:szCs w:val="14"/>
        </w:rPr>
        <w:t xml:space="preserve">◆</w:t>
      </w:r>
      <w:r>
        <w:t xml:space="preserve">	Grace forgives the sin; wisdom repairs the trust.</w:t>
      </w:r>
    </w:p>
    <w:p>
      <w:pPr>
        <w:pStyle w:val="Heading2"/>
      </w:pPr>
      <w:r>
        <w:t xml:space="preserve">On the Heart of the Leader</w:t>
      </w:r>
    </w:p>
    <w:p>
      <w:pPr>
        <w:keepLines/>
        <w:tabs>
          <w:tab w:val="left" w:pos="360"/>
        </w:tabs>
        <w:spacing w:after="110" w:line="288"/>
        <w:ind w:left="360" w:hanging="360"/>
      </w:pPr>
      <w:r>
        <w:rPr>
          <w:color w:val="A67C1A"/>
          <w:sz w:val="14"/>
          <w:szCs w:val="14"/>
        </w:rPr>
        <w:t xml:space="preserve">◆</w:t>
      </w:r>
      <w:r>
        <w:t xml:space="preserve">	Keep your heart with all diligence.  </w:t>
      </w:r>
      <w:r>
        <w:rPr>
          <w:i/>
          <w:iCs/>
          <w:color w:val="555555"/>
          <w:sz w:val="19"/>
          <w:szCs w:val="19"/>
        </w:rPr>
        <w:t xml:space="preserve">Prov. 4:23</w:t>
      </w:r>
    </w:p>
    <w:p>
      <w:pPr>
        <w:keepLines/>
        <w:tabs>
          <w:tab w:val="left" w:pos="360"/>
        </w:tabs>
        <w:spacing w:after="110" w:line="288"/>
        <w:ind w:left="360" w:hanging="360"/>
      </w:pPr>
      <w:r>
        <w:rPr>
          <w:color w:val="A67C1A"/>
          <w:sz w:val="14"/>
          <w:szCs w:val="14"/>
        </w:rPr>
        <w:t xml:space="preserve">◆</w:t>
      </w:r>
      <w:r>
        <w:t xml:space="preserve">	What you are in secret, you will one day be in public.</w:t>
      </w:r>
    </w:p>
    <w:p>
      <w:pPr>
        <w:keepLines/>
        <w:tabs>
          <w:tab w:val="left" w:pos="360"/>
        </w:tabs>
        <w:spacing w:after="110" w:line="288"/>
        <w:ind w:left="360" w:hanging="360"/>
      </w:pPr>
      <w:r>
        <w:rPr>
          <w:color w:val="A67C1A"/>
          <w:sz w:val="14"/>
          <w:szCs w:val="14"/>
        </w:rPr>
        <w:t xml:space="preserve">◆</w:t>
      </w:r>
      <w:r>
        <w:t xml:space="preserve">	Gift opens the door; character keeps you in the room.</w:t>
      </w:r>
    </w:p>
    <w:p>
      <w:pPr>
        <w:keepLines/>
        <w:tabs>
          <w:tab w:val="left" w:pos="360"/>
        </w:tabs>
        <w:spacing w:after="110" w:line="288"/>
        <w:ind w:left="360" w:hanging="360"/>
      </w:pPr>
      <w:r>
        <w:rPr>
          <w:color w:val="A67C1A"/>
          <w:sz w:val="14"/>
          <w:szCs w:val="14"/>
        </w:rPr>
        <w:t xml:space="preserve">◆</w:t>
      </w:r>
      <w:r>
        <w:t xml:space="preserve">	The pulpit magnifies whatever the prayer closet has formed.</w:t>
      </w:r>
    </w:p>
    <w:p>
      <w:pPr>
        <w:keepLines/>
        <w:tabs>
          <w:tab w:val="left" w:pos="360"/>
        </w:tabs>
        <w:spacing w:after="110" w:line="288"/>
        <w:ind w:left="360" w:hanging="360"/>
      </w:pPr>
      <w:r>
        <w:rPr>
          <w:color w:val="A67C1A"/>
          <w:sz w:val="14"/>
          <w:szCs w:val="14"/>
        </w:rPr>
        <w:t xml:space="preserve">◆</w:t>
      </w:r>
      <w:r>
        <w:t xml:space="preserve">	The shepherd who does not feed on the Word will soon feed on the flock.</w:t>
      </w:r>
    </w:p>
    <w:p>
      <w:pPr>
        <w:keepLines/>
        <w:tabs>
          <w:tab w:val="left" w:pos="360"/>
        </w:tabs>
        <w:spacing w:after="110" w:line="288"/>
        <w:ind w:left="360" w:hanging="360"/>
      </w:pPr>
      <w:r>
        <w:rPr>
          <w:color w:val="A67C1A"/>
          <w:sz w:val="14"/>
          <w:szCs w:val="14"/>
        </w:rPr>
        <w:t xml:space="preserve">◆</w:t>
      </w:r>
      <w:r>
        <w:t xml:space="preserve">	Love God more than you love your ministry, and you will keep both.</w:t>
      </w:r>
    </w:p>
    <w:p>
      <w:pPr>
        <w:keepLines/>
        <w:tabs>
          <w:tab w:val="left" w:pos="360"/>
        </w:tabs>
        <w:spacing w:after="110" w:line="288"/>
        <w:ind w:left="360" w:hanging="360"/>
      </w:pPr>
      <w:r>
        <w:rPr>
          <w:color w:val="A67C1A"/>
          <w:sz w:val="14"/>
          <w:szCs w:val="14"/>
        </w:rPr>
        <w:t xml:space="preserve">◆</w:t>
      </w:r>
      <w:r>
        <w:t xml:space="preserve">	The Master’s “well done” is worth more than the world’s applause.</w:t>
      </w:r>
    </w:p>
    <w:p>
      <w:pPr>
        <w:sectPr>
          <w:headerReference w:type="default" r:id="rId115"/>
          <w:headerReference w:type="first" r:id="rId116"/>
          <w:footerReference w:type="default" r:id="rId117"/>
          <w:footerReference w:type="first" r:id="rId118"/>
          <w:type w:val="nextPage"/>
          <w:pgSz w:w="8640" w:h="12960" w:orient="portrait"/>
          <w:pgMar w:top="1080" w:right="936" w:bottom="1008" w:left="1008" w:header="560" w:footer="520" w:gutter="0"/>
          <w:pgNumType w:fmt="decimal"/>
          <w:titlePg/>
          <w:docGrid w:linePitch="360"/>
        </w:sectPr>
      </w:pPr>
    </w:p>
    <w:p>
      <w:pPr>
        <w:spacing w:after="160" w:before="1300"/>
        <w:jc w:val="center"/>
      </w:pPr>
      <w:r>
        <w:rPr>
          <w:b/>
          <w:bCs/>
          <w:color w:val="A67C1A"/>
          <w:spacing w:val="60"/>
          <w:sz w:val="20"/>
          <w:szCs w:val="20"/>
        </w:rPr>
        <w:t xml:space="preserve">CONCLUSION</w:t>
      </w:r>
    </w:p>
    <w:p>
      <w:pPr>
        <w:pStyle w:val="Heading1"/>
      </w:pPr>
      <w:bookmarkStart w:id="1094" w:name="toc_801"/>
      <w:r>
        <w:t xml:space="preserve">Finishing Well</w:t>
      </w:r>
      <w:bookmarkEnd w:id="1094"/>
    </w:p>
    <w:p>
      <w:pPr>
        <w:spacing w:after="60" w:before="60" w:line="276"/>
        <w:ind w:left="720" w:right="720"/>
        <w:jc w:val="center"/>
      </w:pPr>
      <w:r>
        <w:rPr>
          <w:i/>
          <w:iCs/>
          <w:color w:val="555555"/>
          <w:sz w:val="21"/>
          <w:szCs w:val="21"/>
        </w:rPr>
        <w:t xml:space="preserve">I have fought a good fight, I have finished my course, I have kept the faith.</w:t>
      </w:r>
    </w:p>
    <w:p>
      <w:pPr>
        <w:spacing w:after="480"/>
        <w:jc w:val="center"/>
      </w:pPr>
      <w:r>
        <w:rPr>
          <w:color w:val="A67C1A"/>
          <w:sz w:val="19"/>
          <w:szCs w:val="19"/>
        </w:rPr>
        <w:t xml:space="preserve">— </w:t>
      </w:r>
      <w:r>
        <w:rPr>
          <w:smallCaps/>
          <w:color w:val="A67C1A"/>
          <w:sz w:val="19"/>
          <w:szCs w:val="19"/>
        </w:rPr>
        <w:t xml:space="preserve">2 Timothy 4:7</w:t>
      </w:r>
    </w:p>
    <w:p>
      <w:pPr>
        <w:pStyle w:val="BodyFirst"/>
      </w:pPr>
      <w:r>
        <w:t xml:space="preserve">This book began with a warning: let him that thinketh he standeth take heed lest he fall. It has traced that warning through the pages of Scripture, from Uzziah’s pride to Gehazi’s greed, from David’s idle afternoon to Rehoboam’s harsh reply, from Saul’s jealousy to Demas’s quiet departure. It has listened to the voices of the early Church Fathers, who fled from office because they feared its dangers and who, when compelled to lead, wrote with piercing insight about vainglory, envy and the love of praise. It has observed Roman emperors and governors whose temptations, ceremony, patronage, flattery and the craving for glory, still haunt leadership today. And it has considered contemporary leaders whose falls have shaken the Church, and others whose quiet faithfulness has strengthened it.</w:t>
      </w:r>
    </w:p>
    <w:p>
      <w:pPr>
        <w:pStyle w:val="Body"/>
      </w:pPr>
      <w:r>
        <w:t xml:space="preserve">Several conclusions emerge.</w:t>
      </w:r>
    </w:p>
    <w:p>
      <w:pPr>
        <w:pStyle w:val="Body"/>
      </w:pPr>
      <w:r>
        <w:t xml:space="preserve">First, the pitfalls of leadership are remarkably consistent across the centuries. Pride, greed, sexual sin, the abuse of power, jealousy, the fear of people, presumption, isolation, the neglect of family and succession, and gradual drift appear in Scripture, in the Fathers, in Roman history and in the headlines of our own day. This consistency is sobering, but it is also encouraging, because what is predictable can be prepared for.</w:t>
      </w:r>
    </w:p>
    <w:p>
      <w:pPr>
        <w:pStyle w:val="Body"/>
      </w:pPr>
      <w:r>
        <w:t xml:space="preserve">Second, falls are usually processes rather than events. The public collapse is the end of a long series of small choices, private neglects and unaddressed warnings. For this reason, the most important battles of leadership are fought in secret: in the prayer closet, in the handling of small sums of money, in the discipline of the eyes, in the response to correction and in the daily choice to serve rather than to be served.</w:t>
      </w:r>
    </w:p>
    <w:p>
      <w:pPr>
        <w:pStyle w:val="Body"/>
      </w:pPr>
      <w:r>
        <w:t xml:space="preserve">Third, gifting and success are no guarantee of godliness. Some of the most gifted leaders in Scripture and history fell most spectacularly. The Church must learn to value character as highly as charisma, and leaders must learn to measure themselves by faithfulness rather than by results.</w:t>
      </w:r>
    </w:p>
    <w:p>
      <w:pPr>
        <w:pStyle w:val="Body"/>
      </w:pPr>
      <w:r>
        <w:t xml:space="preserve">Fourth, accountability is a gift, not a threat. The leaders who fell most disastrously were almost always those who had removed or silenced the voices that could have corrected them. The leaders who stood were those who invited correction, shared leadership and remained teachable to the end.</w:t>
      </w:r>
    </w:p>
    <w:p>
      <w:pPr>
        <w:pStyle w:val="Body"/>
      </w:pPr>
      <w:r>
        <w:t xml:space="preserve">Fifth, grace is greater than failure. The God who allowed the falls of his servants to be written in Scripture also recorded their restoration. David’s Psalm 51, Peter’s restoration by the lakeside, and the “profitable” Mark whom Paul later requested (2 Tim. 4:11) testify that God does not abandon those who return to him in repentance. Fallen leaders may find mercy, and the Church must extend it wisely.</w:t>
      </w:r>
    </w:p>
    <w:p>
      <w:pPr>
        <w:pStyle w:val="Body"/>
      </w:pPr>
      <w:r>
        <w:t xml:space="preserve">Finally, the goal of every leader is not merely to avoid disaster but to finish well. Paul’s final testimony is not a boast but a thanksgiving: he had fought, he had finished, he had kept. He knew that “henceforth there is laid up for me a crown of righteousness, which the Lord, the righteous judge, shall give me at that day: and not to me only, but unto all them also that love his appearing” (2 Tim. 4:8).</w:t>
      </w:r>
    </w:p>
    <w:p>
      <w:pPr>
        <w:pStyle w:val="Body"/>
      </w:pPr>
      <w:r>
        <w:t xml:space="preserve">May every reader of these pages, whether a pastor, a teacher, a parent, a church worker or a leader in public life, walk carefully past the snares that lie beside the path, and arrive at the end of the journey to hear the words that matter more than any applause on earth: “Well done, thou good and faithful servant… enter thou into the joy of thy lord” (Matt. 25:21).</w:t>
      </w:r>
    </w:p>
    <w:p>
      <w:pPr>
        <w:pStyle w:val="Quote"/>
      </w:pPr>
      <w:r>
        <w:t xml:space="preserve">Now unto him that is able to keep you from falling, and to present you faultless before the presence of his glory with exceeding joy, to the only wise God our Saviour, be glory and majesty, dominion and power, both now and ever. Amen.</w:t>
      </w:r>
    </w:p>
    <w:p>
      <w:pPr>
        <w:spacing w:after="200"/>
        <w:ind w:right="576"/>
        <w:jc w:val="right"/>
      </w:pPr>
      <w:r>
        <w:rPr>
          <w:i/>
          <w:iCs/>
          <w:sz w:val="20"/>
          <w:szCs w:val="20"/>
        </w:rPr>
        <w:t xml:space="preserve">(Jude 24–25)</w:t>
      </w:r>
    </w:p>
    <w:p>
      <w:pPr>
        <w:sectPr>
          <w:headerReference w:type="default" r:id="rId119"/>
          <w:headerReference w:type="first" r:id="rId120"/>
          <w:footerReference w:type="default" r:id="rId121"/>
          <w:footerReference w:type="first" r:id="rId122"/>
          <w:type w:val="nextPage"/>
          <w:pgSz w:w="8640" w:h="12960" w:orient="portrait"/>
          <w:pgMar w:top="1080" w:right="936" w:bottom="1008" w:left="1008" w:header="560" w:footer="520" w:gutter="0"/>
          <w:pgNumType w:fmt="decimal"/>
          <w:titlePg/>
          <w:docGrid w:linePitch="360"/>
        </w:sectPr>
      </w:pPr>
    </w:p>
    <w:p>
      <w:pPr>
        <w:spacing w:after="160" w:before="1300"/>
        <w:jc w:val="center"/>
      </w:pPr>
      <w:r>
        <w:rPr>
          <w:b/>
          <w:bCs/>
          <w:color w:val="A67C1A"/>
          <w:spacing w:val="60"/>
          <w:sz w:val="20"/>
          <w:szCs w:val="20"/>
        </w:rPr>
        <w:t xml:space="preserve">ENDNOTES</w:t>
      </w:r>
    </w:p>
    <w:p>
      <w:pPr>
        <w:pStyle w:val="Heading1"/>
      </w:pPr>
      <w:bookmarkStart w:id="1095" w:name="toc_817"/>
      <w:r>
        <w:t xml:space="preserve">Notes to the Chapters</w:t>
      </w:r>
      <w:bookmarkEnd w:id="1095"/>
    </w:p>
    <w:p>
      <w:pPr>
        <w:pBdr>
          <w:bottom w:val="single" w:color="A67C1A" w:sz="8" w:space="1"/>
        </w:pBdr>
        <w:spacing w:after="240" w:before="120"/>
        <w:ind w:left="2448" w:right="2448"/>
        <w:jc w:val="center"/>
      </w:pPr>
    </w:p>
    <w:p>
      <w:pPr>
        <w:spacing w:after="120" w:line="264"/>
        <w:jc w:val="both"/>
      </w:pPr>
      <w:r>
        <w:rPr>
          <w:i/>
          <w:iCs/>
          <w:color w:val="555555"/>
          <w:sz w:val="19"/>
          <w:szCs w:val="19"/>
        </w:rPr>
        <w:t xml:space="preserve">Notes are numbered afresh in each chapter. The chapter number and title are given above each group of notes. Chapters not listed contain no notes. Full details of works cited in shortened form will be found in the Select Bibliography.</w:t>
      </w:r>
    </w:p>
    <w:p>
      <w:pPr>
        <w:keepNext/>
        <w:spacing w:after="100" w:before="260"/>
      </w:pPr>
      <w:r>
        <w:rPr>
          <w:b/>
          <w:bCs/>
          <w:color w:val="1F3864"/>
          <w:sz w:val="20"/>
          <w:szCs w:val="20"/>
        </w:rPr>
        <w:t xml:space="preserve">Chapter 1: Why Leaders Fall: The Anatomy of a Pitfall</w:t>
      </w:r>
    </w:p>
    <w:p>
      <w:pPr>
        <w:tabs>
          <w:tab w:val="left" w:pos="360"/>
        </w:tabs>
        <w:spacing w:after="70" w:line="252"/>
        <w:ind w:left="360" w:hanging="360"/>
      </w:pPr>
      <w:bookmarkStart w:id="1001" w:name="note_1_1"/>
      <w:bookmarkEnd w:id="1001"/>
      <w:r>
        <w:rPr>
          <w:sz w:val="19"/>
          <w:szCs w:val="19"/>
        </w:rPr>
        <w:t xml:space="preserve">1.	On </w:t>
      </w:r>
      <w:r>
        <w:rPr>
          <w:i/>
          <w:iCs/>
          <w:sz w:val="19"/>
          <w:szCs w:val="19"/>
        </w:rPr>
        <w:t xml:space="preserve">skandalon</w:t>
      </w:r>
      <w:r>
        <w:rPr>
          <w:sz w:val="19"/>
          <w:szCs w:val="19"/>
        </w:rPr>
        <w:t xml:space="preserve"> and its background in trapping imagery, see Gustav Stählin, “σκάνδαλον, σκανδαλίζω,” in </w:t>
      </w:r>
      <w:r>
        <w:rPr>
          <w:i/>
          <w:iCs/>
          <w:sz w:val="19"/>
          <w:szCs w:val="19"/>
        </w:rPr>
        <w:t xml:space="preserve">Theological Dictionary of the New Testament</w:t>
      </w:r>
      <w:r>
        <w:rPr>
          <w:sz w:val="19"/>
          <w:szCs w:val="19"/>
        </w:rPr>
        <w:t xml:space="preserve">, ed. Gerhard Kittel, trans. Geoffrey W. Bromiley, vol. 7 (Grand Rapids: Eerdmans, 1971).</w:t>
      </w:r>
    </w:p>
    <w:p>
      <w:pPr>
        <w:tabs>
          <w:tab w:val="left" w:pos="360"/>
        </w:tabs>
        <w:spacing w:after="70" w:line="252"/>
        <w:ind w:left="360" w:hanging="360"/>
      </w:pPr>
      <w:bookmarkStart w:id="1002" w:name="note_1_2"/>
      <w:bookmarkEnd w:id="1002"/>
      <w:r>
        <w:rPr>
          <w:sz w:val="19"/>
          <w:szCs w:val="19"/>
        </w:rPr>
        <w:t xml:space="preserve">2.	John Emerich Edward Dalberg-Acton, letter to Mandell Creighton, 5 April 1887, in </w:t>
      </w:r>
      <w:r>
        <w:rPr>
          <w:i/>
          <w:iCs/>
          <w:sz w:val="19"/>
          <w:szCs w:val="19"/>
        </w:rPr>
        <w:t xml:space="preserve">Historical Essays and Studies</w:t>
      </w:r>
      <w:r>
        <w:rPr>
          <w:sz w:val="19"/>
          <w:szCs w:val="19"/>
        </w:rPr>
        <w:t xml:space="preserve">, ed. John Neville Figgis and Reginald Vere Laurence (London: Macmillan, 1907), appendix.</w:t>
      </w:r>
    </w:p>
    <w:p>
      <w:pPr>
        <w:tabs>
          <w:tab w:val="left" w:pos="360"/>
        </w:tabs>
        <w:spacing w:after="70" w:line="252"/>
        <w:ind w:left="360" w:hanging="360"/>
      </w:pPr>
      <w:bookmarkStart w:id="1003" w:name="note_1_3"/>
      <w:bookmarkEnd w:id="1003"/>
      <w:r>
        <w:rPr>
          <w:sz w:val="19"/>
          <w:szCs w:val="19"/>
        </w:rPr>
        <w:t xml:space="preserve">3.	Jim Collins, </w:t>
      </w:r>
      <w:r>
        <w:rPr>
          <w:i/>
          <w:iCs/>
          <w:sz w:val="19"/>
          <w:szCs w:val="19"/>
        </w:rPr>
        <w:t xml:space="preserve">How the Mighty Fall: And Why Some Companies Never Give In</w:t>
      </w:r>
      <w:r>
        <w:rPr>
          <w:sz w:val="19"/>
          <w:szCs w:val="19"/>
        </w:rPr>
        <w:t xml:space="preserve"> (New York: HarperCollins, 2009), chap. 3.</w:t>
      </w:r>
    </w:p>
    <w:p>
      <w:pPr>
        <w:tabs>
          <w:tab w:val="left" w:pos="360"/>
        </w:tabs>
        <w:spacing w:after="70" w:line="252"/>
        <w:ind w:left="360" w:hanging="360"/>
      </w:pPr>
      <w:bookmarkStart w:id="1004" w:name="note_1_4"/>
      <w:bookmarkEnd w:id="1004"/>
      <w:r>
        <w:rPr>
          <w:sz w:val="19"/>
          <w:szCs w:val="19"/>
        </w:rPr>
        <w:t xml:space="preserve">4.	J. Oswald Sanders, </w:t>
      </w:r>
      <w:r>
        <w:rPr>
          <w:i/>
          <w:iCs/>
          <w:sz w:val="19"/>
          <w:szCs w:val="19"/>
        </w:rPr>
        <w:t xml:space="preserve">Spiritual Leadership</w:t>
      </w:r>
      <w:r>
        <w:rPr>
          <w:sz w:val="19"/>
          <w:szCs w:val="19"/>
        </w:rPr>
        <w:t xml:space="preserve"> (Chicago: Moody Press, 1967), chap. “The Perils of Leadership.”</w:t>
      </w:r>
    </w:p>
    <w:p>
      <w:pPr>
        <w:tabs>
          <w:tab w:val="left" w:pos="360"/>
        </w:tabs>
        <w:spacing w:after="70" w:line="252"/>
        <w:ind w:left="360" w:hanging="360"/>
      </w:pPr>
      <w:bookmarkStart w:id="1005" w:name="note_1_5"/>
      <w:bookmarkEnd w:id="1005"/>
      <w:r>
        <w:rPr>
          <w:sz w:val="19"/>
          <w:szCs w:val="19"/>
        </w:rPr>
        <w:t xml:space="preserve">5.	J. Robert Clinton, </w:t>
      </w:r>
      <w:r>
        <w:rPr>
          <w:i/>
          <w:iCs/>
          <w:sz w:val="19"/>
          <w:szCs w:val="19"/>
        </w:rPr>
        <w:t xml:space="preserve">The Making of a Leader: Recognizing the Lessons and Stages of Leadership Development</w:t>
      </w:r>
      <w:r>
        <w:rPr>
          <w:sz w:val="19"/>
          <w:szCs w:val="19"/>
        </w:rPr>
        <w:t xml:space="preserve">, 2nd ed. (Colorado Springs: NavPress, 2012), see especially the discussion of “finishing well.”</w:t>
      </w:r>
    </w:p>
    <w:p>
      <w:pPr>
        <w:keepNext/>
        <w:spacing w:after="100" w:before="260"/>
      </w:pPr>
      <w:r>
        <w:rPr>
          <w:b/>
          <w:bCs/>
          <w:color w:val="1F3864"/>
          <w:sz w:val="20"/>
          <w:szCs w:val="20"/>
        </w:rPr>
        <w:t xml:space="preserve">Chapter 2: Power in the Shadow of Rome: Leadership in the World of the New Testament</w:t>
      </w:r>
    </w:p>
    <w:p>
      <w:pPr>
        <w:tabs>
          <w:tab w:val="left" w:pos="360"/>
        </w:tabs>
        <w:spacing w:after="70" w:line="252"/>
        <w:ind w:left="360" w:hanging="360"/>
      </w:pPr>
      <w:bookmarkStart w:id="1006" w:name="note_2_1"/>
      <w:bookmarkEnd w:id="1006"/>
      <w:r>
        <w:rPr>
          <w:sz w:val="19"/>
          <w:szCs w:val="19"/>
        </w:rPr>
        <w:t xml:space="preserve">1.	On Roman patronage, see Richard P. Saller, </w:t>
      </w:r>
      <w:r>
        <w:rPr>
          <w:i/>
          <w:iCs/>
          <w:sz w:val="19"/>
          <w:szCs w:val="19"/>
        </w:rPr>
        <w:t xml:space="preserve">Personal Patronage under the Early Empire</w:t>
      </w:r>
      <w:r>
        <w:rPr>
          <w:sz w:val="19"/>
          <w:szCs w:val="19"/>
        </w:rPr>
        <w:t xml:space="preserve"> (Cambridge: Cambridge University Press, 1982).</w:t>
      </w:r>
    </w:p>
    <w:p>
      <w:pPr>
        <w:tabs>
          <w:tab w:val="left" w:pos="360"/>
        </w:tabs>
        <w:spacing w:after="70" w:line="252"/>
        <w:ind w:left="360" w:hanging="360"/>
      </w:pPr>
      <w:bookmarkStart w:id="1007" w:name="note_2_2"/>
      <w:bookmarkEnd w:id="1007"/>
      <w:r>
        <w:rPr>
          <w:sz w:val="19"/>
          <w:szCs w:val="19"/>
        </w:rPr>
        <w:t xml:space="preserve">2.	Suetonius, </w:t>
      </w:r>
      <w:r>
        <w:rPr>
          <w:i/>
          <w:iCs/>
          <w:sz w:val="19"/>
          <w:szCs w:val="19"/>
        </w:rPr>
        <w:t xml:space="preserve">Domitian</w:t>
      </w:r>
      <w:r>
        <w:rPr>
          <w:sz w:val="19"/>
          <w:szCs w:val="19"/>
        </w:rPr>
        <w:t xml:space="preserve"> 13.2, in </w:t>
      </w:r>
      <w:r>
        <w:rPr>
          <w:i/>
          <w:iCs/>
          <w:sz w:val="19"/>
          <w:szCs w:val="19"/>
        </w:rPr>
        <w:t xml:space="preserve">Lives of the Caesars</w:t>
      </w:r>
      <w:r>
        <w:rPr>
          <w:sz w:val="19"/>
          <w:szCs w:val="19"/>
        </w:rPr>
        <w:t xml:space="preserve">.</w:t>
      </w:r>
    </w:p>
    <w:p>
      <w:pPr>
        <w:tabs>
          <w:tab w:val="left" w:pos="360"/>
        </w:tabs>
        <w:spacing w:after="70" w:line="252"/>
        <w:ind w:left="360" w:hanging="360"/>
      </w:pPr>
      <w:bookmarkStart w:id="1008" w:name="note_2_3"/>
      <w:bookmarkEnd w:id="1008"/>
      <w:r>
        <w:rPr>
          <w:sz w:val="19"/>
          <w:szCs w:val="19"/>
        </w:rPr>
        <w:t xml:space="preserve">3.	Flavius Josephus, </w:t>
      </w:r>
      <w:r>
        <w:rPr>
          <w:i/>
          <w:iCs/>
          <w:sz w:val="19"/>
          <w:szCs w:val="19"/>
        </w:rPr>
        <w:t xml:space="preserve">Antiquities of the Jews</w:t>
      </w:r>
      <w:r>
        <w:rPr>
          <w:sz w:val="19"/>
          <w:szCs w:val="19"/>
        </w:rPr>
        <w:t xml:space="preserve"> 19.343–350, in </w:t>
      </w:r>
      <w:r>
        <w:rPr>
          <w:i/>
          <w:iCs/>
          <w:sz w:val="19"/>
          <w:szCs w:val="19"/>
        </w:rPr>
        <w:t xml:space="preserve">The Works of Flavius Josephus</w:t>
      </w:r>
      <w:r>
        <w:rPr>
          <w:sz w:val="19"/>
          <w:szCs w:val="19"/>
        </w:rPr>
        <w:t xml:space="preserve">, trans. William Whiston.</w:t>
      </w:r>
    </w:p>
    <w:p>
      <w:pPr>
        <w:tabs>
          <w:tab w:val="left" w:pos="360"/>
        </w:tabs>
        <w:spacing w:after="70" w:line="252"/>
        <w:ind w:left="360" w:hanging="360"/>
      </w:pPr>
      <w:bookmarkStart w:id="1009" w:name="note_2_4"/>
      <w:bookmarkEnd w:id="1009"/>
      <w:r>
        <w:rPr>
          <w:sz w:val="19"/>
          <w:szCs w:val="19"/>
        </w:rPr>
        <w:t xml:space="preserve">4.	Tertullian, </w:t>
      </w:r>
      <w:r>
        <w:rPr>
          <w:i/>
          <w:iCs/>
          <w:sz w:val="19"/>
          <w:szCs w:val="19"/>
        </w:rPr>
        <w:t xml:space="preserve">Apology</w:t>
      </w:r>
      <w:r>
        <w:rPr>
          <w:sz w:val="19"/>
          <w:szCs w:val="19"/>
        </w:rPr>
        <w:t xml:space="preserve"> 33.4, in </w:t>
      </w:r>
      <w:r>
        <w:rPr>
          <w:i/>
          <w:iCs/>
          <w:sz w:val="19"/>
          <w:szCs w:val="19"/>
        </w:rPr>
        <w:t xml:space="preserve">Ante-Nicene Fathers</w:t>
      </w:r>
      <w:r>
        <w:rPr>
          <w:sz w:val="19"/>
          <w:szCs w:val="19"/>
        </w:rPr>
        <w:t xml:space="preserve">, ed. Alexander Roberts and James Donaldson, vol. 3 (Buffalo: Christian Literature Publishing, 1885).</w:t>
      </w:r>
    </w:p>
    <w:p>
      <w:pPr>
        <w:tabs>
          <w:tab w:val="left" w:pos="360"/>
        </w:tabs>
        <w:spacing w:after="70" w:line="252"/>
        <w:ind w:left="360" w:hanging="360"/>
      </w:pPr>
      <w:bookmarkStart w:id="1010" w:name="note_2_5"/>
      <w:bookmarkEnd w:id="1010"/>
      <w:r>
        <w:rPr>
          <w:sz w:val="19"/>
          <w:szCs w:val="19"/>
        </w:rPr>
        <w:t xml:space="preserve">5.	Marcus Aurelius, </w:t>
      </w:r>
      <w:r>
        <w:rPr>
          <w:i/>
          <w:iCs/>
          <w:sz w:val="19"/>
          <w:szCs w:val="19"/>
        </w:rPr>
        <w:t xml:space="preserve">Meditations</w:t>
      </w:r>
      <w:r>
        <w:rPr>
          <w:sz w:val="19"/>
          <w:szCs w:val="19"/>
        </w:rPr>
        <w:t xml:space="preserve"> 6.30, trans. George Long (London, 1862).</w:t>
      </w:r>
    </w:p>
    <w:p>
      <w:pPr>
        <w:tabs>
          <w:tab w:val="left" w:pos="360"/>
        </w:tabs>
        <w:spacing w:after="70" w:line="252"/>
        <w:ind w:left="360" w:hanging="360"/>
      </w:pPr>
      <w:bookmarkStart w:id="1011" w:name="note_2_6"/>
      <w:bookmarkEnd w:id="1011"/>
      <w:r>
        <w:rPr>
          <w:sz w:val="19"/>
          <w:szCs w:val="19"/>
        </w:rPr>
        <w:t xml:space="preserve">6.	Macrobius, </w:t>
      </w:r>
      <w:r>
        <w:rPr>
          <w:i/>
          <w:iCs/>
          <w:sz w:val="19"/>
          <w:szCs w:val="19"/>
        </w:rPr>
        <w:t xml:space="preserve">Saturnalia</w:t>
      </w:r>
      <w:r>
        <w:rPr>
          <w:sz w:val="19"/>
          <w:szCs w:val="19"/>
        </w:rPr>
        <w:t xml:space="preserve"> 2.4.11.</w:t>
      </w:r>
    </w:p>
    <w:p>
      <w:pPr>
        <w:tabs>
          <w:tab w:val="left" w:pos="360"/>
        </w:tabs>
        <w:spacing w:after="70" w:line="252"/>
        <w:ind w:left="360" w:hanging="360"/>
      </w:pPr>
      <w:bookmarkStart w:id="1012" w:name="note_2_7"/>
      <w:bookmarkEnd w:id="1012"/>
      <w:r>
        <w:rPr>
          <w:sz w:val="19"/>
          <w:szCs w:val="19"/>
        </w:rPr>
        <w:t xml:space="preserve">7.	Tacitus, </w:t>
      </w:r>
      <w:r>
        <w:rPr>
          <w:i/>
          <w:iCs/>
          <w:sz w:val="19"/>
          <w:szCs w:val="19"/>
        </w:rPr>
        <w:t xml:space="preserve">Histories</w:t>
      </w:r>
      <w:r>
        <w:rPr>
          <w:sz w:val="19"/>
          <w:szCs w:val="19"/>
        </w:rPr>
        <w:t xml:space="preserve"> 5.9.</w:t>
      </w:r>
    </w:p>
    <w:p>
      <w:pPr>
        <w:tabs>
          <w:tab w:val="left" w:pos="360"/>
        </w:tabs>
        <w:spacing w:after="70" w:line="252"/>
        <w:ind w:left="360" w:hanging="360"/>
      </w:pPr>
      <w:bookmarkStart w:id="1013" w:name="note_2_8"/>
      <w:bookmarkEnd w:id="1013"/>
      <w:r>
        <w:rPr>
          <w:sz w:val="19"/>
          <w:szCs w:val="19"/>
        </w:rPr>
        <w:t xml:space="preserve">8.	Tacitus, </w:t>
      </w:r>
      <w:r>
        <w:rPr>
          <w:i/>
          <w:iCs/>
          <w:sz w:val="19"/>
          <w:szCs w:val="19"/>
        </w:rPr>
        <w:t xml:space="preserve">Annals</w:t>
      </w:r>
      <w:r>
        <w:rPr>
          <w:sz w:val="19"/>
          <w:szCs w:val="19"/>
        </w:rPr>
        <w:t xml:space="preserve"> 13.42, records the accusations of Publius Suillius against Seneca’s wealth.</w:t>
      </w:r>
    </w:p>
    <w:p>
      <w:pPr>
        <w:tabs>
          <w:tab w:val="left" w:pos="360"/>
        </w:tabs>
        <w:spacing w:after="70" w:line="252"/>
        <w:ind w:left="360" w:hanging="360"/>
      </w:pPr>
      <w:bookmarkStart w:id="1014" w:name="note_2_9"/>
      <w:bookmarkEnd w:id="1014"/>
      <w:r>
        <w:rPr>
          <w:sz w:val="19"/>
          <w:szCs w:val="19"/>
        </w:rPr>
        <w:t xml:space="preserve">9.	Eberhard Bethge, </w:t>
      </w:r>
      <w:r>
        <w:rPr>
          <w:i/>
          <w:iCs/>
          <w:sz w:val="19"/>
          <w:szCs w:val="19"/>
        </w:rPr>
        <w:t xml:space="preserve">Dietrich Bonhoeffer: A Biography</w:t>
      </w:r>
      <w:r>
        <w:rPr>
          <w:sz w:val="19"/>
          <w:szCs w:val="19"/>
        </w:rPr>
        <w:t xml:space="preserve">, rev. ed. (Minneapolis: Fortress Press, 2000), on the broadcast “The Younger Generation’s Altered View of the Concept of Leader.”</w:t>
      </w:r>
    </w:p>
    <w:p>
      <w:pPr>
        <w:keepNext/>
        <w:spacing w:after="100" w:before="260"/>
      </w:pPr>
      <w:r>
        <w:rPr>
          <w:b/>
          <w:bCs/>
          <w:color w:val="1F3864"/>
          <w:sz w:val="20"/>
          <w:szCs w:val="20"/>
        </w:rPr>
        <w:t xml:space="preserve">Chapter 3: Pride: The Pitfall Beneath All Pitfalls</w:t>
      </w:r>
    </w:p>
    <w:p>
      <w:pPr>
        <w:tabs>
          <w:tab w:val="left" w:pos="360"/>
        </w:tabs>
        <w:spacing w:after="70" w:line="252"/>
        <w:ind w:left="360" w:hanging="360"/>
      </w:pPr>
      <w:bookmarkStart w:id="1015" w:name="note_3_1"/>
      <w:bookmarkEnd w:id="1015"/>
      <w:r>
        <w:rPr>
          <w:sz w:val="19"/>
          <w:szCs w:val="19"/>
        </w:rPr>
        <w:t xml:space="preserve">1.	Augustine, </w:t>
      </w:r>
      <w:r>
        <w:rPr>
          <w:i/>
          <w:iCs/>
          <w:sz w:val="19"/>
          <w:szCs w:val="19"/>
        </w:rPr>
        <w:t xml:space="preserve">The City of God</w:t>
      </w:r>
      <w:r>
        <w:rPr>
          <w:sz w:val="19"/>
          <w:szCs w:val="19"/>
        </w:rPr>
        <w:t xml:space="preserve"> 14.13, in </w:t>
      </w:r>
      <w:r>
        <w:rPr>
          <w:i/>
          <w:iCs/>
          <w:sz w:val="19"/>
          <w:szCs w:val="19"/>
        </w:rPr>
        <w:t xml:space="preserve">Nicene and Post-Nicene Fathers</w:t>
      </w:r>
      <w:r>
        <w:rPr>
          <w:sz w:val="19"/>
          <w:szCs w:val="19"/>
        </w:rPr>
        <w:t xml:space="preserve">, first series, ed. Philip Schaff, vol. 2 (Buffalo: Christian Literature Publishing, 1887).</w:t>
      </w:r>
    </w:p>
    <w:p>
      <w:pPr>
        <w:tabs>
          <w:tab w:val="left" w:pos="360"/>
        </w:tabs>
        <w:spacing w:after="70" w:line="252"/>
        <w:ind w:left="360" w:hanging="360"/>
      </w:pPr>
      <w:bookmarkStart w:id="1016" w:name="note_3_2"/>
      <w:bookmarkEnd w:id="1016"/>
      <w:r>
        <w:rPr>
          <w:sz w:val="19"/>
          <w:szCs w:val="19"/>
        </w:rPr>
        <w:t xml:space="preserve">2.	Henri J. M. Nouwen, </w:t>
      </w:r>
      <w:r>
        <w:rPr>
          <w:i/>
          <w:iCs/>
          <w:sz w:val="19"/>
          <w:szCs w:val="19"/>
        </w:rPr>
        <w:t xml:space="preserve">In the Name of Jesus: Reflections on Christian Leadership</w:t>
      </w:r>
      <w:r>
        <w:rPr>
          <w:sz w:val="19"/>
          <w:szCs w:val="19"/>
        </w:rPr>
        <w:t xml:space="preserve"> (New York: Crossroad, 1989).</w:t>
      </w:r>
    </w:p>
    <w:p>
      <w:pPr>
        <w:keepNext/>
        <w:spacing w:after="100" w:before="260"/>
      </w:pPr>
      <w:r>
        <w:rPr>
          <w:b/>
          <w:bCs/>
          <w:color w:val="1F3864"/>
          <w:sz w:val="20"/>
          <w:szCs w:val="20"/>
        </w:rPr>
        <w:t xml:space="preserve">Chapter 4: Greed: The Love of Money and the Price of Ministry</w:t>
      </w:r>
    </w:p>
    <w:p>
      <w:pPr>
        <w:tabs>
          <w:tab w:val="left" w:pos="360"/>
        </w:tabs>
        <w:spacing w:after="70" w:line="252"/>
        <w:ind w:left="360" w:hanging="360"/>
      </w:pPr>
      <w:bookmarkStart w:id="1017" w:name="note_4_1"/>
      <w:bookmarkEnd w:id="1017"/>
      <w:r>
        <w:rPr>
          <w:sz w:val="19"/>
          <w:szCs w:val="19"/>
        </w:rPr>
        <w:t xml:space="preserve">1.	Richard J. Foster, </w:t>
      </w:r>
      <w:r>
        <w:rPr>
          <w:i/>
          <w:iCs/>
          <w:sz w:val="19"/>
          <w:szCs w:val="19"/>
        </w:rPr>
        <w:t xml:space="preserve">Money, Sex and Power: The Challenge of the Disciplined Life</w:t>
      </w:r>
      <w:r>
        <w:rPr>
          <w:sz w:val="19"/>
          <w:szCs w:val="19"/>
        </w:rPr>
        <w:t xml:space="preserve"> (San Francisco: Harper &amp; Row, 1985).</w:t>
      </w:r>
    </w:p>
    <w:p>
      <w:pPr>
        <w:keepNext/>
        <w:spacing w:after="100" w:before="260"/>
      </w:pPr>
      <w:r>
        <w:rPr>
          <w:b/>
          <w:bCs/>
          <w:color w:val="1F3864"/>
          <w:sz w:val="20"/>
          <w:szCs w:val="20"/>
        </w:rPr>
        <w:t xml:space="preserve">Chapter 5: Sexual Immorality: The Pitfall of Unguarded Desire</w:t>
      </w:r>
    </w:p>
    <w:p>
      <w:pPr>
        <w:tabs>
          <w:tab w:val="left" w:pos="360"/>
        </w:tabs>
        <w:spacing w:after="70" w:line="252"/>
        <w:ind w:left="360" w:hanging="360"/>
      </w:pPr>
      <w:bookmarkStart w:id="1018" w:name="note_5_1"/>
      <w:bookmarkEnd w:id="1018"/>
      <w:r>
        <w:rPr>
          <w:sz w:val="19"/>
          <w:szCs w:val="19"/>
        </w:rPr>
        <w:t xml:space="preserve">1.	Billy Graham, </w:t>
      </w:r>
      <w:r>
        <w:rPr>
          <w:i/>
          <w:iCs/>
          <w:sz w:val="19"/>
          <w:szCs w:val="19"/>
        </w:rPr>
        <w:t xml:space="preserve">Just As I Am: The Autobiography of Billy Graham</w:t>
      </w:r>
      <w:r>
        <w:rPr>
          <w:sz w:val="19"/>
          <w:szCs w:val="19"/>
        </w:rPr>
        <w:t xml:space="preserve"> (San Francisco: HarperSanFrancisco; Grand Rapids: Zondervan, 1997), in the account of the team’s 1948 meeting at Modesto, California.</w:t>
      </w:r>
    </w:p>
    <w:p>
      <w:pPr>
        <w:keepNext/>
        <w:spacing w:after="100" w:before="260"/>
      </w:pPr>
      <w:r>
        <w:rPr>
          <w:b/>
          <w:bCs/>
          <w:color w:val="1F3864"/>
          <w:sz w:val="20"/>
          <w:szCs w:val="20"/>
        </w:rPr>
        <w:t xml:space="preserve">Chapter 6: Abuse of Power: Lording It Over God’s Heritage</w:t>
      </w:r>
    </w:p>
    <w:p>
      <w:pPr>
        <w:tabs>
          <w:tab w:val="left" w:pos="360"/>
        </w:tabs>
        <w:spacing w:after="70" w:line="252"/>
        <w:ind w:left="360" w:hanging="360"/>
      </w:pPr>
      <w:bookmarkStart w:id="1019" w:name="note_6_1"/>
      <w:bookmarkEnd w:id="1019"/>
      <w:r>
        <w:rPr>
          <w:sz w:val="19"/>
          <w:szCs w:val="19"/>
        </w:rPr>
        <w:t xml:space="preserve">1.	Diane Langberg, </w:t>
      </w:r>
      <w:r>
        <w:rPr>
          <w:i/>
          <w:iCs/>
          <w:sz w:val="19"/>
          <w:szCs w:val="19"/>
        </w:rPr>
        <w:t xml:space="preserve">Redeeming Power: Understanding Authority and Abuse in the Church</w:t>
      </w:r>
      <w:r>
        <w:rPr>
          <w:sz w:val="19"/>
          <w:szCs w:val="19"/>
        </w:rPr>
        <w:t xml:space="preserve"> (Grand Rapids: Brazos Press, 2020).</w:t>
      </w:r>
    </w:p>
    <w:p>
      <w:pPr>
        <w:keepNext/>
        <w:spacing w:after="100" w:before="260"/>
      </w:pPr>
      <w:r>
        <w:rPr>
          <w:b/>
          <w:bCs/>
          <w:color w:val="1F3864"/>
          <w:sz w:val="20"/>
          <w:szCs w:val="20"/>
        </w:rPr>
        <w:t xml:space="preserve">Chapter 7: Jealousy and Insecurity: When Another’s Success Becomes a Threat</w:t>
      </w:r>
    </w:p>
    <w:p>
      <w:pPr>
        <w:tabs>
          <w:tab w:val="left" w:pos="360"/>
        </w:tabs>
        <w:spacing w:after="70" w:line="252"/>
        <w:ind w:left="360" w:hanging="360"/>
      </w:pPr>
      <w:bookmarkStart w:id="1020" w:name="note_7_1"/>
      <w:bookmarkEnd w:id="1020"/>
      <w:r>
        <w:rPr>
          <w:sz w:val="19"/>
          <w:szCs w:val="19"/>
        </w:rPr>
        <w:t xml:space="preserve">1.	</w:t>
      </w:r>
      <w:r>
        <w:rPr>
          <w:i/>
          <w:iCs/>
          <w:sz w:val="19"/>
          <w:szCs w:val="19"/>
        </w:rPr>
        <w:t xml:space="preserve">1 Clement</w:t>
      </w:r>
      <w:r>
        <w:rPr>
          <w:sz w:val="19"/>
          <w:szCs w:val="19"/>
        </w:rPr>
        <w:t xml:space="preserve"> 3–6, in </w:t>
      </w:r>
      <w:r>
        <w:rPr>
          <w:i/>
          <w:iCs/>
          <w:sz w:val="19"/>
          <w:szCs w:val="19"/>
        </w:rPr>
        <w:t xml:space="preserve">Ante-Nicene Fathers</w:t>
      </w:r>
      <w:r>
        <w:rPr>
          <w:sz w:val="19"/>
          <w:szCs w:val="19"/>
        </w:rPr>
        <w:t xml:space="preserve">, ed. Alexander Roberts and James Donaldson, vol. 1 (Buffalo: Christian Literature Publishing, 1885).</w:t>
      </w:r>
    </w:p>
    <w:p>
      <w:pPr>
        <w:keepNext/>
        <w:spacing w:after="100" w:before="260"/>
      </w:pPr>
      <w:r>
        <w:rPr>
          <w:b/>
          <w:bCs/>
          <w:color w:val="1F3864"/>
          <w:sz w:val="20"/>
          <w:szCs w:val="20"/>
        </w:rPr>
        <w:t xml:space="preserve">Chapter 9: Anger and the Unguarded Tongue</w:t>
      </w:r>
    </w:p>
    <w:p>
      <w:pPr>
        <w:tabs>
          <w:tab w:val="left" w:pos="360"/>
        </w:tabs>
        <w:spacing w:after="70" w:line="252"/>
        <w:ind w:left="360" w:hanging="360"/>
      </w:pPr>
      <w:bookmarkStart w:id="1021" w:name="note_9_1"/>
      <w:bookmarkEnd w:id="1021"/>
      <w:r>
        <w:rPr>
          <w:sz w:val="19"/>
          <w:szCs w:val="19"/>
        </w:rPr>
        <w:t xml:space="preserve">1.	Seneca, </w:t>
      </w:r>
      <w:r>
        <w:rPr>
          <w:i/>
          <w:iCs/>
          <w:sz w:val="19"/>
          <w:szCs w:val="19"/>
        </w:rPr>
        <w:t xml:space="preserve">De Ira</w:t>
      </w:r>
      <w:r>
        <w:rPr>
          <w:sz w:val="19"/>
          <w:szCs w:val="19"/>
        </w:rPr>
        <w:t xml:space="preserve"> 2.29, in </w:t>
      </w:r>
      <w:r>
        <w:rPr>
          <w:i/>
          <w:iCs/>
          <w:sz w:val="19"/>
          <w:szCs w:val="19"/>
        </w:rPr>
        <w:t xml:space="preserve">Moral Essays</w:t>
      </w:r>
      <w:r>
        <w:rPr>
          <w:sz w:val="19"/>
          <w:szCs w:val="19"/>
        </w:rPr>
        <w:t xml:space="preserve">, trans. John W. Basore, vol. 1, Loeb Classical Library (Cambridge, MA: Harvard University Press, 1928).</w:t>
      </w:r>
    </w:p>
    <w:p>
      <w:pPr>
        <w:tabs>
          <w:tab w:val="left" w:pos="360"/>
        </w:tabs>
        <w:spacing w:after="70" w:line="252"/>
        <w:ind w:left="360" w:hanging="360"/>
      </w:pPr>
      <w:bookmarkStart w:id="1022" w:name="note_9_2"/>
      <w:bookmarkEnd w:id="1022"/>
      <w:r>
        <w:rPr>
          <w:sz w:val="19"/>
          <w:szCs w:val="19"/>
        </w:rPr>
        <w:t xml:space="preserve">2.	Seneca, </w:t>
      </w:r>
      <w:r>
        <w:rPr>
          <w:i/>
          <w:iCs/>
          <w:sz w:val="19"/>
          <w:szCs w:val="19"/>
        </w:rPr>
        <w:t xml:space="preserve">De Ira</w:t>
      </w:r>
      <w:r>
        <w:rPr>
          <w:sz w:val="19"/>
          <w:szCs w:val="19"/>
        </w:rPr>
        <w:t xml:space="preserve"> 3.12.</w:t>
      </w:r>
    </w:p>
    <w:p>
      <w:pPr>
        <w:tabs>
          <w:tab w:val="left" w:pos="360"/>
        </w:tabs>
        <w:spacing w:after="70" w:line="252"/>
        <w:ind w:left="360" w:hanging="360"/>
      </w:pPr>
      <w:bookmarkStart w:id="1023" w:name="note_9_3"/>
      <w:bookmarkEnd w:id="1023"/>
      <w:r>
        <w:rPr>
          <w:sz w:val="19"/>
          <w:szCs w:val="19"/>
        </w:rPr>
        <w:t xml:space="preserve">3.	</w:t>
      </w:r>
      <w:r>
        <w:rPr>
          <w:i/>
          <w:iCs/>
          <w:sz w:val="19"/>
          <w:szCs w:val="19"/>
        </w:rPr>
        <w:t xml:space="preserve">Codex Theodosianus</w:t>
      </w:r>
      <w:r>
        <w:rPr>
          <w:sz w:val="19"/>
          <w:szCs w:val="19"/>
        </w:rPr>
        <w:t xml:space="preserve"> 9.40.13. See Clyde Pharr, trans., </w:t>
      </w:r>
      <w:r>
        <w:rPr>
          <w:i/>
          <w:iCs/>
          <w:sz w:val="19"/>
          <w:szCs w:val="19"/>
        </w:rPr>
        <w:t xml:space="preserve">The Theodosian Code and Novels and the Sirmondian Constitutions</w:t>
      </w:r>
      <w:r>
        <w:rPr>
          <w:sz w:val="19"/>
          <w:szCs w:val="19"/>
        </w:rPr>
        <w:t xml:space="preserve"> (Princeton: Princeton University Press, 1952).</w:t>
      </w:r>
    </w:p>
    <w:p>
      <w:pPr>
        <w:tabs>
          <w:tab w:val="left" w:pos="360"/>
        </w:tabs>
        <w:spacing w:after="70" w:line="252"/>
        <w:ind w:left="360" w:hanging="360"/>
      </w:pPr>
      <w:bookmarkStart w:id="1024" w:name="note_9_4"/>
      <w:bookmarkEnd w:id="1024"/>
      <w:r>
        <w:rPr>
          <w:sz w:val="19"/>
          <w:szCs w:val="19"/>
        </w:rPr>
        <w:t xml:space="preserve">4.	Basil of Caesarea, </w:t>
      </w:r>
      <w:r>
        <w:rPr>
          <w:i/>
          <w:iCs/>
          <w:sz w:val="19"/>
          <w:szCs w:val="19"/>
        </w:rPr>
        <w:t xml:space="preserve">Homily against Those Who Are Prone to Anger</w:t>
      </w:r>
      <w:r>
        <w:rPr>
          <w:sz w:val="19"/>
          <w:szCs w:val="19"/>
        </w:rPr>
        <w:t xml:space="preserve"> (Homily 10). See </w:t>
      </w:r>
      <w:r>
        <w:rPr>
          <w:i/>
          <w:iCs/>
          <w:sz w:val="19"/>
          <w:szCs w:val="19"/>
        </w:rPr>
        <w:t xml:space="preserve">St. Basil the Great: On Christian Doctrine and Practice</w:t>
      </w:r>
      <w:r>
        <w:rPr>
          <w:sz w:val="19"/>
          <w:szCs w:val="19"/>
        </w:rPr>
        <w:t xml:space="preserve">, trans. Mark DelCogliano (Yonkers, NY: St Vladimir’s Seminary Press, 2012).</w:t>
      </w:r>
    </w:p>
    <w:p>
      <w:pPr>
        <w:keepNext/>
        <w:spacing w:after="100" w:before="260"/>
      </w:pPr>
      <w:r>
        <w:rPr>
          <w:b/>
          <w:bCs/>
          <w:color w:val="1F3864"/>
          <w:sz w:val="20"/>
          <w:szCs w:val="20"/>
        </w:rPr>
        <w:t xml:space="preserve">Chapter 11: Isolation and Burnout: The Leader Who Carries Too Much</w:t>
      </w:r>
    </w:p>
    <w:p>
      <w:pPr>
        <w:tabs>
          <w:tab w:val="left" w:pos="360"/>
        </w:tabs>
        <w:spacing w:after="70" w:line="252"/>
        <w:ind w:left="360" w:hanging="360"/>
      </w:pPr>
      <w:bookmarkStart w:id="1025" w:name="note_11_1"/>
      <w:bookmarkEnd w:id="1025"/>
      <w:r>
        <w:rPr>
          <w:sz w:val="19"/>
          <w:szCs w:val="19"/>
        </w:rPr>
        <w:t xml:space="preserve">1.	C. H. Spurgeon, “The Minister’s Fainting Fits,” in </w:t>
      </w:r>
      <w:r>
        <w:rPr>
          <w:i/>
          <w:iCs/>
          <w:sz w:val="19"/>
          <w:szCs w:val="19"/>
        </w:rPr>
        <w:t xml:space="preserve">Lectures to My Students</w:t>
      </w:r>
      <w:r>
        <w:rPr>
          <w:sz w:val="19"/>
          <w:szCs w:val="19"/>
        </w:rPr>
        <w:t xml:space="preserve">, first series (London: Passmore and Alabaster, 1875).</w:t>
      </w:r>
    </w:p>
    <w:p>
      <w:pPr>
        <w:tabs>
          <w:tab w:val="left" w:pos="360"/>
        </w:tabs>
        <w:spacing w:after="70" w:line="252"/>
        <w:ind w:left="360" w:hanging="360"/>
      </w:pPr>
      <w:bookmarkStart w:id="1026" w:name="note_11_2"/>
      <w:bookmarkEnd w:id="1026"/>
      <w:r>
        <w:rPr>
          <w:sz w:val="19"/>
          <w:szCs w:val="19"/>
        </w:rPr>
        <w:t xml:space="preserve">2.	Barna Group, “Pastors Share Top Reasons They’ve Considered Quitting Ministry in the Past Year,” </w:t>
      </w:r>
      <w:r>
        <w:rPr>
          <w:i/>
          <w:iCs/>
          <w:sz w:val="19"/>
          <w:szCs w:val="19"/>
        </w:rPr>
        <w:t xml:space="preserve">Barna</w:t>
      </w:r>
      <w:r>
        <w:rPr>
          <w:sz w:val="19"/>
          <w:szCs w:val="19"/>
        </w:rPr>
        <w:t xml:space="preserve">, 27 April 2022, https://www.barna.com/research/pastors-quitting-ministry/. Barna’s later surveys reported a decline in this figure after 2022.</w:t>
      </w:r>
    </w:p>
    <w:p>
      <w:pPr>
        <w:tabs>
          <w:tab w:val="left" w:pos="360"/>
        </w:tabs>
        <w:spacing w:after="70" w:line="252"/>
        <w:ind w:left="360" w:hanging="360"/>
      </w:pPr>
      <w:bookmarkStart w:id="1027" w:name="note_11_3"/>
      <w:bookmarkEnd w:id="1027"/>
      <w:r>
        <w:rPr>
          <w:sz w:val="19"/>
          <w:szCs w:val="19"/>
        </w:rPr>
        <w:t xml:space="preserve">3.	Eugene H. Peterson, </w:t>
      </w:r>
      <w:r>
        <w:rPr>
          <w:i/>
          <w:iCs/>
          <w:sz w:val="19"/>
          <w:szCs w:val="19"/>
        </w:rPr>
        <w:t xml:space="preserve">Working the Angles: The Shape of Pastoral Integrity</w:t>
      </w:r>
      <w:r>
        <w:rPr>
          <w:sz w:val="19"/>
          <w:szCs w:val="19"/>
        </w:rPr>
        <w:t xml:space="preserve"> (Grand Rapids: Eerdmans, 1987).</w:t>
      </w:r>
    </w:p>
    <w:p>
      <w:pPr>
        <w:keepNext/>
        <w:spacing w:after="100" w:before="260"/>
      </w:pPr>
      <w:r>
        <w:rPr>
          <w:b/>
          <w:bCs/>
          <w:color w:val="1F3864"/>
          <w:sz w:val="20"/>
          <w:szCs w:val="20"/>
        </w:rPr>
        <w:t xml:space="preserve">Chapter 14: The Early Church Fathers on the Perils of Office</w:t>
      </w:r>
    </w:p>
    <w:p>
      <w:pPr>
        <w:tabs>
          <w:tab w:val="left" w:pos="360"/>
        </w:tabs>
        <w:spacing w:after="70" w:line="252"/>
        <w:ind w:left="360" w:hanging="360"/>
      </w:pPr>
      <w:bookmarkStart w:id="1028" w:name="note_14_1"/>
      <w:bookmarkEnd w:id="1028"/>
      <w:r>
        <w:rPr>
          <w:sz w:val="19"/>
          <w:szCs w:val="19"/>
        </w:rPr>
        <w:t xml:space="preserve">1.	</w:t>
      </w:r>
      <w:r>
        <w:rPr>
          <w:i/>
          <w:iCs/>
          <w:sz w:val="19"/>
          <w:szCs w:val="19"/>
        </w:rPr>
        <w:t xml:space="preserve">Didache</w:t>
      </w:r>
      <w:r>
        <w:rPr>
          <w:sz w:val="19"/>
          <w:szCs w:val="19"/>
        </w:rPr>
        <w:t xml:space="preserve"> 11.4–9, in </w:t>
      </w:r>
      <w:r>
        <w:rPr>
          <w:i/>
          <w:iCs/>
          <w:sz w:val="19"/>
          <w:szCs w:val="19"/>
        </w:rPr>
        <w:t xml:space="preserve">Ante-Nicene Fathers</w:t>
      </w:r>
      <w:r>
        <w:rPr>
          <w:sz w:val="19"/>
          <w:szCs w:val="19"/>
        </w:rPr>
        <w:t xml:space="preserve">, ed. Alexander Roberts and James Donaldson, vol. 7 (Buffalo: Christian Literature Publishing, 1886).</w:t>
      </w:r>
    </w:p>
    <w:p>
      <w:pPr>
        <w:tabs>
          <w:tab w:val="left" w:pos="360"/>
        </w:tabs>
        <w:spacing w:after="70" w:line="252"/>
        <w:ind w:left="360" w:hanging="360"/>
      </w:pPr>
      <w:bookmarkStart w:id="1029" w:name="note_14_2"/>
      <w:bookmarkEnd w:id="1029"/>
      <w:r>
        <w:rPr>
          <w:sz w:val="19"/>
          <w:szCs w:val="19"/>
        </w:rPr>
        <w:t xml:space="preserve">2.	</w:t>
      </w:r>
      <w:r>
        <w:rPr>
          <w:i/>
          <w:iCs/>
          <w:sz w:val="19"/>
          <w:szCs w:val="19"/>
        </w:rPr>
        <w:t xml:space="preserve">Didache</w:t>
      </w:r>
      <w:r>
        <w:rPr>
          <w:sz w:val="19"/>
          <w:szCs w:val="19"/>
        </w:rPr>
        <w:t xml:space="preserve"> 12.5. The Greek </w:t>
      </w:r>
      <w:r>
        <w:rPr>
          <w:i/>
          <w:iCs/>
          <w:sz w:val="19"/>
          <w:szCs w:val="19"/>
        </w:rPr>
        <w:t xml:space="preserve">christemporos</w:t>
      </w:r>
      <w:r>
        <w:rPr>
          <w:sz w:val="19"/>
          <w:szCs w:val="19"/>
        </w:rPr>
        <w:t xml:space="preserve"> is frequently rendered “Christ-monger” or “one who makes traffic of Christ.”</w:t>
      </w:r>
    </w:p>
    <w:p>
      <w:pPr>
        <w:tabs>
          <w:tab w:val="left" w:pos="360"/>
        </w:tabs>
        <w:spacing w:after="70" w:line="252"/>
        <w:ind w:left="360" w:hanging="360"/>
      </w:pPr>
      <w:bookmarkStart w:id="1030" w:name="note_14_3"/>
      <w:bookmarkEnd w:id="1030"/>
      <w:r>
        <w:rPr>
          <w:sz w:val="19"/>
          <w:szCs w:val="19"/>
        </w:rPr>
        <w:t xml:space="preserve">3.	Polycarp, </w:t>
      </w:r>
      <w:r>
        <w:rPr>
          <w:i/>
          <w:iCs/>
          <w:sz w:val="19"/>
          <w:szCs w:val="19"/>
        </w:rPr>
        <w:t xml:space="preserve">Epistle to the Philippians</w:t>
      </w:r>
      <w:r>
        <w:rPr>
          <w:sz w:val="19"/>
          <w:szCs w:val="19"/>
        </w:rPr>
        <w:t xml:space="preserve"> 11, in </w:t>
      </w:r>
      <w:r>
        <w:rPr>
          <w:i/>
          <w:iCs/>
          <w:sz w:val="19"/>
          <w:szCs w:val="19"/>
        </w:rPr>
        <w:t xml:space="preserve">Ante-Nicene Fathers</w:t>
      </w:r>
      <w:r>
        <w:rPr>
          <w:sz w:val="19"/>
          <w:szCs w:val="19"/>
        </w:rPr>
        <w:t xml:space="preserve">, vol. 1.</w:t>
      </w:r>
    </w:p>
    <w:p>
      <w:pPr>
        <w:tabs>
          <w:tab w:val="left" w:pos="360"/>
        </w:tabs>
        <w:spacing w:after="70" w:line="252"/>
        <w:ind w:left="360" w:hanging="360"/>
      </w:pPr>
      <w:bookmarkStart w:id="1031" w:name="note_14_4"/>
      <w:bookmarkEnd w:id="1031"/>
      <w:r>
        <w:rPr>
          <w:sz w:val="19"/>
          <w:szCs w:val="19"/>
        </w:rPr>
        <w:t xml:space="preserve">4.	Cyprian, </w:t>
      </w:r>
      <w:r>
        <w:rPr>
          <w:i/>
          <w:iCs/>
          <w:sz w:val="19"/>
          <w:szCs w:val="19"/>
        </w:rPr>
        <w:t xml:space="preserve">Epistle</w:t>
      </w:r>
      <w:r>
        <w:rPr>
          <w:sz w:val="19"/>
          <w:szCs w:val="19"/>
        </w:rPr>
        <w:t xml:space="preserve"> 67, in </w:t>
      </w:r>
      <w:r>
        <w:rPr>
          <w:i/>
          <w:iCs/>
          <w:sz w:val="19"/>
          <w:szCs w:val="19"/>
        </w:rPr>
        <w:t xml:space="preserve">Ante-Nicene Fathers</w:t>
      </w:r>
      <w:r>
        <w:rPr>
          <w:sz w:val="19"/>
          <w:szCs w:val="19"/>
        </w:rPr>
        <w:t xml:space="preserve">, vol. 5 (Buffalo: Christian Literature Publishing, 1886).</w:t>
      </w:r>
    </w:p>
    <w:p>
      <w:pPr>
        <w:tabs>
          <w:tab w:val="left" w:pos="360"/>
        </w:tabs>
        <w:spacing w:after="70" w:line="252"/>
        <w:ind w:left="360" w:hanging="360"/>
      </w:pPr>
      <w:bookmarkStart w:id="1032" w:name="note_14_5"/>
      <w:bookmarkEnd w:id="1032"/>
      <w:r>
        <w:rPr>
          <w:sz w:val="19"/>
          <w:szCs w:val="19"/>
        </w:rPr>
        <w:t xml:space="preserve">5.	Eusebius, </w:t>
      </w:r>
      <w:r>
        <w:rPr>
          <w:i/>
          <w:iCs/>
          <w:sz w:val="19"/>
          <w:szCs w:val="19"/>
        </w:rPr>
        <w:t xml:space="preserve">Ecclesiastical History</w:t>
      </w:r>
      <w:r>
        <w:rPr>
          <w:sz w:val="19"/>
          <w:szCs w:val="19"/>
        </w:rPr>
        <w:t xml:space="preserve"> 7.30, in </w:t>
      </w:r>
      <w:r>
        <w:rPr>
          <w:i/>
          <w:iCs/>
          <w:sz w:val="19"/>
          <w:szCs w:val="19"/>
        </w:rPr>
        <w:t xml:space="preserve">Nicene and Post-Nicene Fathers</w:t>
      </w:r>
      <w:r>
        <w:rPr>
          <w:sz w:val="19"/>
          <w:szCs w:val="19"/>
        </w:rPr>
        <w:t xml:space="preserve">, second series, ed. Philip Schaff and Henry Wace, vol. 1 (New York: Christian Literature Company, 1890).</w:t>
      </w:r>
    </w:p>
    <w:p>
      <w:pPr>
        <w:tabs>
          <w:tab w:val="left" w:pos="360"/>
        </w:tabs>
        <w:spacing w:after="70" w:line="252"/>
        <w:ind w:left="360" w:hanging="360"/>
      </w:pPr>
      <w:bookmarkStart w:id="1033" w:name="note_14_6"/>
      <w:bookmarkEnd w:id="1033"/>
      <w:r>
        <w:rPr>
          <w:sz w:val="19"/>
          <w:szCs w:val="19"/>
        </w:rPr>
        <w:t xml:space="preserve">6.	Gregory of Nazianzus, </w:t>
      </w:r>
      <w:r>
        <w:rPr>
          <w:i/>
          <w:iCs/>
          <w:sz w:val="19"/>
          <w:szCs w:val="19"/>
        </w:rPr>
        <w:t xml:space="preserve">Oration</w:t>
      </w:r>
      <w:r>
        <w:rPr>
          <w:sz w:val="19"/>
          <w:szCs w:val="19"/>
        </w:rPr>
        <w:t xml:space="preserve"> 2 (“In Defence of His Flight to Pontus”), in </w:t>
      </w:r>
      <w:r>
        <w:rPr>
          <w:i/>
          <w:iCs/>
          <w:sz w:val="19"/>
          <w:szCs w:val="19"/>
        </w:rPr>
        <w:t xml:space="preserve">Nicene and Post-Nicene Fathers</w:t>
      </w:r>
      <w:r>
        <w:rPr>
          <w:sz w:val="19"/>
          <w:szCs w:val="19"/>
        </w:rPr>
        <w:t xml:space="preserve">, second series, vol. 7 (New York: Christian Literature Company, 1894).</w:t>
      </w:r>
    </w:p>
    <w:p>
      <w:pPr>
        <w:tabs>
          <w:tab w:val="left" w:pos="360"/>
        </w:tabs>
        <w:spacing w:after="70" w:line="252"/>
        <w:ind w:left="360" w:hanging="360"/>
      </w:pPr>
      <w:bookmarkStart w:id="1034" w:name="note_14_7"/>
      <w:bookmarkEnd w:id="1034"/>
      <w:r>
        <w:rPr>
          <w:sz w:val="19"/>
          <w:szCs w:val="19"/>
        </w:rPr>
        <w:t xml:space="preserve">7.	John Chrysostom, </w:t>
      </w:r>
      <w:r>
        <w:rPr>
          <w:i/>
          <w:iCs/>
          <w:sz w:val="19"/>
          <w:szCs w:val="19"/>
        </w:rPr>
        <w:t xml:space="preserve">On the Priesthood</w:t>
      </w:r>
      <w:r>
        <w:rPr>
          <w:sz w:val="19"/>
          <w:szCs w:val="19"/>
        </w:rPr>
        <w:t xml:space="preserve"> 3.9 and 5.1–8, in </w:t>
      </w:r>
      <w:r>
        <w:rPr>
          <w:i/>
          <w:iCs/>
          <w:sz w:val="19"/>
          <w:szCs w:val="19"/>
        </w:rPr>
        <w:t xml:space="preserve">Nicene and Post-Nicene Fathers</w:t>
      </w:r>
      <w:r>
        <w:rPr>
          <w:sz w:val="19"/>
          <w:szCs w:val="19"/>
        </w:rPr>
        <w:t xml:space="preserve">, first series, ed. Philip Schaff, vol. 9 (New York: Christian Literature Company, 1889).</w:t>
      </w:r>
    </w:p>
    <w:p>
      <w:pPr>
        <w:tabs>
          <w:tab w:val="left" w:pos="360"/>
        </w:tabs>
        <w:spacing w:after="70" w:line="252"/>
        <w:ind w:left="360" w:hanging="360"/>
      </w:pPr>
      <w:bookmarkStart w:id="1035" w:name="note_14_8"/>
      <w:bookmarkEnd w:id="1035"/>
      <w:r>
        <w:rPr>
          <w:sz w:val="19"/>
          <w:szCs w:val="19"/>
        </w:rPr>
        <w:t xml:space="preserve">8.	Ambrose, </w:t>
      </w:r>
      <w:r>
        <w:rPr>
          <w:i/>
          <w:iCs/>
          <w:sz w:val="19"/>
          <w:szCs w:val="19"/>
        </w:rPr>
        <w:t xml:space="preserve">Epistle</w:t>
      </w:r>
      <w:r>
        <w:rPr>
          <w:sz w:val="19"/>
          <w:szCs w:val="19"/>
        </w:rPr>
        <w:t xml:space="preserve"> 51, in </w:t>
      </w:r>
      <w:r>
        <w:rPr>
          <w:i/>
          <w:iCs/>
          <w:sz w:val="19"/>
          <w:szCs w:val="19"/>
        </w:rPr>
        <w:t xml:space="preserve">Nicene and Post-Nicene Fathers</w:t>
      </w:r>
      <w:r>
        <w:rPr>
          <w:sz w:val="19"/>
          <w:szCs w:val="19"/>
        </w:rPr>
        <w:t xml:space="preserve">, second series, vol. 10 (New York: Christian Literature Company, 1896); compare Theodoret, </w:t>
      </w:r>
      <w:r>
        <w:rPr>
          <w:i/>
          <w:iCs/>
          <w:sz w:val="19"/>
          <w:szCs w:val="19"/>
        </w:rPr>
        <w:t xml:space="preserve">Ecclesiastical History</w:t>
      </w:r>
      <w:r>
        <w:rPr>
          <w:sz w:val="19"/>
          <w:szCs w:val="19"/>
        </w:rPr>
        <w:t xml:space="preserve"> 5.17–18.</w:t>
      </w:r>
    </w:p>
    <w:p>
      <w:pPr>
        <w:tabs>
          <w:tab w:val="left" w:pos="360"/>
        </w:tabs>
        <w:spacing w:after="70" w:line="252"/>
        <w:ind w:left="360" w:hanging="360"/>
      </w:pPr>
      <w:bookmarkStart w:id="1036" w:name="note_14_9"/>
      <w:bookmarkEnd w:id="1036"/>
      <w:r>
        <w:rPr>
          <w:sz w:val="19"/>
          <w:szCs w:val="19"/>
        </w:rPr>
        <w:t xml:space="preserve">9.	Augustine, </w:t>
      </w:r>
      <w:r>
        <w:rPr>
          <w:i/>
          <w:iCs/>
          <w:sz w:val="19"/>
          <w:szCs w:val="19"/>
        </w:rPr>
        <w:t xml:space="preserve">Sermon</w:t>
      </w:r>
      <w:r>
        <w:rPr>
          <w:sz w:val="19"/>
          <w:szCs w:val="19"/>
        </w:rPr>
        <w:t xml:space="preserve"> 340.1. The Latin reads: </w:t>
      </w:r>
      <w:r>
        <w:rPr>
          <w:i/>
          <w:iCs/>
          <w:sz w:val="19"/>
          <w:szCs w:val="19"/>
        </w:rPr>
        <w:t xml:space="preserve">Vobis enim sum episcopus, vobiscum sum christianus</w:t>
      </w:r>
      <w:r>
        <w:rPr>
          <w:sz w:val="19"/>
          <w:szCs w:val="19"/>
        </w:rPr>
        <w:t xml:space="preserve">.</w:t>
      </w:r>
    </w:p>
    <w:p>
      <w:pPr>
        <w:tabs>
          <w:tab w:val="left" w:pos="360"/>
        </w:tabs>
        <w:spacing w:after="70" w:line="252"/>
        <w:ind w:left="360" w:hanging="360"/>
      </w:pPr>
      <w:bookmarkStart w:id="1037" w:name="note_14_10"/>
      <w:bookmarkEnd w:id="1037"/>
      <w:r>
        <w:rPr>
          <w:sz w:val="19"/>
          <w:szCs w:val="19"/>
        </w:rPr>
        <w:t xml:space="preserve">10.	Augustine, </w:t>
      </w:r>
      <w:r>
        <w:rPr>
          <w:i/>
          <w:iCs/>
          <w:sz w:val="19"/>
          <w:szCs w:val="19"/>
        </w:rPr>
        <w:t xml:space="preserve">The City of God</w:t>
      </w:r>
      <w:r>
        <w:rPr>
          <w:sz w:val="19"/>
          <w:szCs w:val="19"/>
        </w:rPr>
        <w:t xml:space="preserve"> 4.4, in </w:t>
      </w:r>
      <w:r>
        <w:rPr>
          <w:i/>
          <w:iCs/>
          <w:sz w:val="19"/>
          <w:szCs w:val="19"/>
        </w:rPr>
        <w:t xml:space="preserve">Nicene and Post-Nicene Fathers</w:t>
      </w:r>
      <w:r>
        <w:rPr>
          <w:sz w:val="19"/>
          <w:szCs w:val="19"/>
        </w:rPr>
        <w:t xml:space="preserve">, first series, vol. 2.</w:t>
      </w:r>
    </w:p>
    <w:p>
      <w:pPr>
        <w:tabs>
          <w:tab w:val="left" w:pos="360"/>
        </w:tabs>
        <w:spacing w:after="70" w:line="252"/>
        <w:ind w:left="360" w:hanging="360"/>
      </w:pPr>
      <w:bookmarkStart w:id="1038" w:name="note_14_11"/>
      <w:bookmarkEnd w:id="1038"/>
      <w:r>
        <w:rPr>
          <w:sz w:val="19"/>
          <w:szCs w:val="19"/>
        </w:rPr>
        <w:t xml:space="preserve">11.	John Cassian, </w:t>
      </w:r>
      <w:r>
        <w:rPr>
          <w:i/>
          <w:iCs/>
          <w:sz w:val="19"/>
          <w:szCs w:val="19"/>
        </w:rPr>
        <w:t xml:space="preserve">Institutes</w:t>
      </w:r>
      <w:r>
        <w:rPr>
          <w:sz w:val="19"/>
          <w:szCs w:val="19"/>
        </w:rPr>
        <w:t xml:space="preserve"> 11.18, in </w:t>
      </w:r>
      <w:r>
        <w:rPr>
          <w:i/>
          <w:iCs/>
          <w:sz w:val="19"/>
          <w:szCs w:val="19"/>
        </w:rPr>
        <w:t xml:space="preserve">Nicene and Post-Nicene Fathers</w:t>
      </w:r>
      <w:r>
        <w:rPr>
          <w:sz w:val="19"/>
          <w:szCs w:val="19"/>
        </w:rPr>
        <w:t xml:space="preserve">, second series, vol. 11 (New York: Christian Literature Company, 1894).</w:t>
      </w:r>
    </w:p>
    <w:p>
      <w:pPr>
        <w:tabs>
          <w:tab w:val="left" w:pos="360"/>
        </w:tabs>
        <w:spacing w:after="70" w:line="252"/>
        <w:ind w:left="360" w:hanging="360"/>
      </w:pPr>
      <w:bookmarkStart w:id="1039" w:name="note_14_12"/>
      <w:bookmarkEnd w:id="1039"/>
      <w:r>
        <w:rPr>
          <w:sz w:val="19"/>
          <w:szCs w:val="19"/>
        </w:rPr>
        <w:t xml:space="preserve">12.	</w:t>
      </w:r>
      <w:r>
        <w:rPr>
          <w:i/>
          <w:iCs/>
          <w:sz w:val="19"/>
          <w:szCs w:val="19"/>
        </w:rPr>
        <w:t xml:space="preserve">The Rule of St. Benedict</w:t>
      </w:r>
      <w:r>
        <w:rPr>
          <w:sz w:val="19"/>
          <w:szCs w:val="19"/>
        </w:rPr>
        <w:t xml:space="preserve"> 64.8–16. See </w:t>
      </w:r>
      <w:r>
        <w:rPr>
          <w:i/>
          <w:iCs/>
          <w:sz w:val="19"/>
          <w:szCs w:val="19"/>
        </w:rPr>
        <w:t xml:space="preserve">RB 1980: The Rule of St. Benedict in Latin and English with Notes</w:t>
      </w:r>
      <w:r>
        <w:rPr>
          <w:sz w:val="19"/>
          <w:szCs w:val="19"/>
        </w:rPr>
        <w:t xml:space="preserve">, ed. Timothy Fry (Collegeville, MN: Liturgical Press, 1981).</w:t>
      </w:r>
    </w:p>
    <w:p>
      <w:pPr>
        <w:tabs>
          <w:tab w:val="left" w:pos="360"/>
        </w:tabs>
        <w:spacing w:after="70" w:line="252"/>
        <w:ind w:left="360" w:hanging="360"/>
      </w:pPr>
      <w:bookmarkStart w:id="1040" w:name="note_14_13"/>
      <w:bookmarkEnd w:id="1040"/>
      <w:r>
        <w:rPr>
          <w:sz w:val="19"/>
          <w:szCs w:val="19"/>
        </w:rPr>
        <w:t xml:space="preserve">13.	Gregory the Great, </w:t>
      </w:r>
      <w:r>
        <w:rPr>
          <w:i/>
          <w:iCs/>
          <w:sz w:val="19"/>
          <w:szCs w:val="19"/>
        </w:rPr>
        <w:t xml:space="preserve">Pastoral Rule</w:t>
      </w:r>
      <w:r>
        <w:rPr>
          <w:sz w:val="19"/>
          <w:szCs w:val="19"/>
        </w:rPr>
        <w:t xml:space="preserve"> 1.1, in </w:t>
      </w:r>
      <w:r>
        <w:rPr>
          <w:i/>
          <w:iCs/>
          <w:sz w:val="19"/>
          <w:szCs w:val="19"/>
        </w:rPr>
        <w:t xml:space="preserve">Nicene and Post-Nicene Fathers</w:t>
      </w:r>
      <w:r>
        <w:rPr>
          <w:sz w:val="19"/>
          <w:szCs w:val="19"/>
        </w:rPr>
        <w:t xml:space="preserve">, second series, vol. 12 (New York: Christian Literature Company, 1895).</w:t>
      </w:r>
    </w:p>
    <w:p>
      <w:pPr>
        <w:tabs>
          <w:tab w:val="left" w:pos="360"/>
        </w:tabs>
        <w:spacing w:after="70" w:line="252"/>
        <w:ind w:left="360" w:hanging="360"/>
      </w:pPr>
      <w:bookmarkStart w:id="1041" w:name="note_14_14"/>
      <w:bookmarkEnd w:id="1041"/>
      <w:r>
        <w:rPr>
          <w:sz w:val="19"/>
          <w:szCs w:val="19"/>
        </w:rPr>
        <w:t xml:space="preserve">14.	Gregory the Great, </w:t>
      </w:r>
      <w:r>
        <w:rPr>
          <w:i/>
          <w:iCs/>
          <w:sz w:val="19"/>
          <w:szCs w:val="19"/>
        </w:rPr>
        <w:t xml:space="preserve">Pastoral Rule</w:t>
      </w:r>
      <w:r>
        <w:rPr>
          <w:sz w:val="19"/>
          <w:szCs w:val="19"/>
        </w:rPr>
        <w:t xml:space="preserve"> 1.3 and 2.6.</w:t>
      </w:r>
    </w:p>
    <w:p>
      <w:pPr>
        <w:keepNext/>
        <w:spacing w:after="100" w:before="260"/>
      </w:pPr>
      <w:r>
        <w:rPr>
          <w:b/>
          <w:bCs/>
          <w:color w:val="1F3864"/>
          <w:sz w:val="20"/>
          <w:szCs w:val="20"/>
        </w:rPr>
        <w:t xml:space="preserve">Chapter 15: When Caesar Became a Patron: Constantine and the Perils of Imperial Favour</w:t>
      </w:r>
    </w:p>
    <w:p>
      <w:pPr>
        <w:tabs>
          <w:tab w:val="left" w:pos="360"/>
        </w:tabs>
        <w:spacing w:after="70" w:line="252"/>
        <w:ind w:left="360" w:hanging="360"/>
      </w:pPr>
      <w:bookmarkStart w:id="1042" w:name="note_15_1"/>
      <w:bookmarkEnd w:id="1042"/>
      <w:r>
        <w:rPr>
          <w:sz w:val="19"/>
          <w:szCs w:val="19"/>
        </w:rPr>
        <w:t xml:space="preserve">1.	Eusebius, </w:t>
      </w:r>
      <w:r>
        <w:rPr>
          <w:i/>
          <w:iCs/>
          <w:sz w:val="19"/>
          <w:szCs w:val="19"/>
        </w:rPr>
        <w:t xml:space="preserve">Ecclesiastical History</w:t>
      </w:r>
      <w:r>
        <w:rPr>
          <w:sz w:val="19"/>
          <w:szCs w:val="19"/>
        </w:rPr>
        <w:t xml:space="preserve"> 10.7, in </w:t>
      </w:r>
      <w:r>
        <w:rPr>
          <w:i/>
          <w:iCs/>
          <w:sz w:val="19"/>
          <w:szCs w:val="19"/>
        </w:rPr>
        <w:t xml:space="preserve">Nicene and Post-Nicene Fathers</w:t>
      </w:r>
      <w:r>
        <w:rPr>
          <w:sz w:val="19"/>
          <w:szCs w:val="19"/>
        </w:rPr>
        <w:t xml:space="preserve">, second series, vol. 1.</w:t>
      </w:r>
    </w:p>
    <w:p>
      <w:pPr>
        <w:tabs>
          <w:tab w:val="left" w:pos="360"/>
        </w:tabs>
        <w:spacing w:after="70" w:line="252"/>
        <w:ind w:left="360" w:hanging="360"/>
      </w:pPr>
      <w:bookmarkStart w:id="1043" w:name="note_15_2"/>
      <w:bookmarkEnd w:id="1043"/>
      <w:r>
        <w:rPr>
          <w:sz w:val="19"/>
          <w:szCs w:val="19"/>
        </w:rPr>
        <w:t xml:space="preserve">2.	</w:t>
      </w:r>
      <w:r>
        <w:rPr>
          <w:i/>
          <w:iCs/>
          <w:sz w:val="19"/>
          <w:szCs w:val="19"/>
        </w:rPr>
        <w:t xml:space="preserve">Codex Theodosianus</w:t>
      </w:r>
      <w:r>
        <w:rPr>
          <w:sz w:val="19"/>
          <w:szCs w:val="19"/>
        </w:rPr>
        <w:t xml:space="preserve"> 1.27.1; see Pharr, </w:t>
      </w:r>
      <w:r>
        <w:rPr>
          <w:i/>
          <w:iCs/>
          <w:sz w:val="19"/>
          <w:szCs w:val="19"/>
        </w:rPr>
        <w:t xml:space="preserve">The Theodosian Code</w:t>
      </w:r>
      <w:r>
        <w:rPr>
          <w:sz w:val="19"/>
          <w:szCs w:val="19"/>
        </w:rPr>
        <w:t xml:space="preserve">.</w:t>
      </w:r>
    </w:p>
    <w:p>
      <w:pPr>
        <w:tabs>
          <w:tab w:val="left" w:pos="360"/>
        </w:tabs>
        <w:spacing w:after="70" w:line="252"/>
        <w:ind w:left="360" w:hanging="360"/>
      </w:pPr>
      <w:bookmarkStart w:id="1044" w:name="note_15_3"/>
      <w:bookmarkEnd w:id="1044"/>
      <w:r>
        <w:rPr>
          <w:sz w:val="19"/>
          <w:szCs w:val="19"/>
        </w:rPr>
        <w:t xml:space="preserve">3.	</w:t>
      </w:r>
      <w:r>
        <w:rPr>
          <w:i/>
          <w:iCs/>
          <w:sz w:val="19"/>
          <w:szCs w:val="19"/>
        </w:rPr>
        <w:t xml:space="preserve">Codex Theodosianus</w:t>
      </w:r>
      <w:r>
        <w:rPr>
          <w:sz w:val="19"/>
          <w:szCs w:val="19"/>
        </w:rPr>
        <w:t xml:space="preserve"> 16.2.3.</w:t>
      </w:r>
    </w:p>
    <w:p>
      <w:pPr>
        <w:tabs>
          <w:tab w:val="left" w:pos="360"/>
        </w:tabs>
        <w:spacing w:after="70" w:line="252"/>
        <w:ind w:left="360" w:hanging="360"/>
      </w:pPr>
      <w:bookmarkStart w:id="1045" w:name="note_15_4"/>
      <w:bookmarkEnd w:id="1045"/>
      <w:r>
        <w:rPr>
          <w:sz w:val="19"/>
          <w:szCs w:val="19"/>
        </w:rPr>
        <w:t xml:space="preserve">4.	Eusebius, </w:t>
      </w:r>
      <w:r>
        <w:rPr>
          <w:i/>
          <w:iCs/>
          <w:sz w:val="19"/>
          <w:szCs w:val="19"/>
        </w:rPr>
        <w:t xml:space="preserve">Life of Constantine</w:t>
      </w:r>
      <w:r>
        <w:rPr>
          <w:sz w:val="19"/>
          <w:szCs w:val="19"/>
        </w:rPr>
        <w:t xml:space="preserve"> 3.15, in </w:t>
      </w:r>
      <w:r>
        <w:rPr>
          <w:i/>
          <w:iCs/>
          <w:sz w:val="19"/>
          <w:szCs w:val="19"/>
        </w:rPr>
        <w:t xml:space="preserve">Nicene and Post-Nicene Fathers</w:t>
      </w:r>
      <w:r>
        <w:rPr>
          <w:sz w:val="19"/>
          <w:szCs w:val="19"/>
        </w:rPr>
        <w:t xml:space="preserve">, second series, vol. 1.</w:t>
      </w:r>
    </w:p>
    <w:p>
      <w:pPr>
        <w:tabs>
          <w:tab w:val="left" w:pos="360"/>
        </w:tabs>
        <w:spacing w:after="70" w:line="252"/>
        <w:ind w:left="360" w:hanging="360"/>
      </w:pPr>
      <w:bookmarkStart w:id="1046" w:name="note_15_5"/>
      <w:bookmarkEnd w:id="1046"/>
      <w:r>
        <w:rPr>
          <w:sz w:val="19"/>
          <w:szCs w:val="19"/>
        </w:rPr>
        <w:t xml:space="preserve">5.	Ammianus Marcellinus, </w:t>
      </w:r>
      <w:r>
        <w:rPr>
          <w:i/>
          <w:iCs/>
          <w:sz w:val="19"/>
          <w:szCs w:val="19"/>
        </w:rPr>
        <w:t xml:space="preserve">Res Gestae</w:t>
      </w:r>
      <w:r>
        <w:rPr>
          <w:sz w:val="19"/>
          <w:szCs w:val="19"/>
        </w:rPr>
        <w:t xml:space="preserve"> 27.3.12–15, trans. J. C. Rolfe, Loeb Classical Library (Cambridge, MA: Harvard University Press, 1939).</w:t>
      </w:r>
    </w:p>
    <w:p>
      <w:pPr>
        <w:tabs>
          <w:tab w:val="left" w:pos="360"/>
        </w:tabs>
        <w:spacing w:after="70" w:line="252"/>
        <w:ind w:left="360" w:hanging="360"/>
      </w:pPr>
      <w:bookmarkStart w:id="1047" w:name="note_15_6"/>
      <w:bookmarkEnd w:id="1047"/>
      <w:r>
        <w:rPr>
          <w:sz w:val="19"/>
          <w:szCs w:val="19"/>
        </w:rPr>
        <w:t xml:space="preserve">6.	Jerome, </w:t>
      </w:r>
      <w:r>
        <w:rPr>
          <w:i/>
          <w:iCs/>
          <w:sz w:val="19"/>
          <w:szCs w:val="19"/>
        </w:rPr>
        <w:t xml:space="preserve">Against John of Jerusalem</w:t>
      </w:r>
      <w:r>
        <w:rPr>
          <w:sz w:val="19"/>
          <w:szCs w:val="19"/>
        </w:rPr>
        <w:t xml:space="preserve"> 8, in </w:t>
      </w:r>
      <w:r>
        <w:rPr>
          <w:i/>
          <w:iCs/>
          <w:sz w:val="19"/>
          <w:szCs w:val="19"/>
        </w:rPr>
        <w:t xml:space="preserve">Nicene and Post-Nicene Fathers</w:t>
      </w:r>
      <w:r>
        <w:rPr>
          <w:sz w:val="19"/>
          <w:szCs w:val="19"/>
        </w:rPr>
        <w:t xml:space="preserve">, second series, vol. 6 (New York: Christian Literature Company, 1893).</w:t>
      </w:r>
    </w:p>
    <w:p>
      <w:pPr>
        <w:tabs>
          <w:tab w:val="left" w:pos="360"/>
        </w:tabs>
        <w:spacing w:after="70" w:line="252"/>
        <w:ind w:left="360" w:hanging="360"/>
      </w:pPr>
      <w:bookmarkStart w:id="1048" w:name="note_15_7"/>
      <w:bookmarkEnd w:id="1048"/>
      <w:r>
        <w:rPr>
          <w:sz w:val="19"/>
          <w:szCs w:val="19"/>
        </w:rPr>
        <w:t xml:space="preserve">7.	Jerome, </w:t>
      </w:r>
      <w:r>
        <w:rPr>
          <w:i/>
          <w:iCs/>
          <w:sz w:val="19"/>
          <w:szCs w:val="19"/>
        </w:rPr>
        <w:t xml:space="preserve">Epistle</w:t>
      </w:r>
      <w:r>
        <w:rPr>
          <w:sz w:val="19"/>
          <w:szCs w:val="19"/>
        </w:rPr>
        <w:t xml:space="preserve"> 52.5, in </w:t>
      </w:r>
      <w:r>
        <w:rPr>
          <w:i/>
          <w:iCs/>
          <w:sz w:val="19"/>
          <w:szCs w:val="19"/>
        </w:rPr>
        <w:t xml:space="preserve">Nicene and Post-Nicene Fathers</w:t>
      </w:r>
      <w:r>
        <w:rPr>
          <w:sz w:val="19"/>
          <w:szCs w:val="19"/>
        </w:rPr>
        <w:t xml:space="preserve">, second series, vol. 6.</w:t>
      </w:r>
    </w:p>
    <w:p>
      <w:pPr>
        <w:tabs>
          <w:tab w:val="left" w:pos="360"/>
        </w:tabs>
        <w:spacing w:after="70" w:line="252"/>
        <w:ind w:left="360" w:hanging="360"/>
      </w:pPr>
      <w:bookmarkStart w:id="1049" w:name="note_15_8"/>
      <w:bookmarkEnd w:id="1049"/>
      <w:r>
        <w:rPr>
          <w:sz w:val="19"/>
          <w:szCs w:val="19"/>
        </w:rPr>
        <w:t xml:space="preserve">8.	</w:t>
      </w:r>
      <w:r>
        <w:rPr>
          <w:i/>
          <w:iCs/>
          <w:sz w:val="19"/>
          <w:szCs w:val="19"/>
        </w:rPr>
        <w:t xml:space="preserve">Codex Theodosianus</w:t>
      </w:r>
      <w:r>
        <w:rPr>
          <w:sz w:val="19"/>
          <w:szCs w:val="19"/>
        </w:rPr>
        <w:t xml:space="preserve"> 16.2.20.</w:t>
      </w:r>
    </w:p>
    <w:p>
      <w:pPr>
        <w:tabs>
          <w:tab w:val="left" w:pos="360"/>
        </w:tabs>
        <w:spacing w:after="70" w:line="252"/>
        <w:ind w:left="360" w:hanging="360"/>
      </w:pPr>
      <w:bookmarkStart w:id="1050" w:name="note_15_9"/>
      <w:bookmarkEnd w:id="1050"/>
      <w:r>
        <w:rPr>
          <w:sz w:val="19"/>
          <w:szCs w:val="19"/>
        </w:rPr>
        <w:t xml:space="preserve">9.	Jerome, </w:t>
      </w:r>
      <w:r>
        <w:rPr>
          <w:i/>
          <w:iCs/>
          <w:sz w:val="19"/>
          <w:szCs w:val="19"/>
        </w:rPr>
        <w:t xml:space="preserve">Epistle</w:t>
      </w:r>
      <w:r>
        <w:rPr>
          <w:sz w:val="19"/>
          <w:szCs w:val="19"/>
        </w:rPr>
        <w:t xml:space="preserve"> 52.6.</w:t>
      </w:r>
    </w:p>
    <w:p>
      <w:pPr>
        <w:tabs>
          <w:tab w:val="left" w:pos="360"/>
        </w:tabs>
        <w:spacing w:after="70" w:line="252"/>
        <w:ind w:left="360" w:hanging="360"/>
      </w:pPr>
      <w:bookmarkStart w:id="1051" w:name="note_15_10"/>
      <w:bookmarkEnd w:id="1051"/>
      <w:r>
        <w:rPr>
          <w:sz w:val="19"/>
          <w:szCs w:val="19"/>
        </w:rPr>
        <w:t xml:space="preserve">10.	Optatus of Milevis, </w:t>
      </w:r>
      <w:r>
        <w:rPr>
          <w:i/>
          <w:iCs/>
          <w:sz w:val="19"/>
          <w:szCs w:val="19"/>
        </w:rPr>
        <w:t xml:space="preserve">Against the Donatists</w:t>
      </w:r>
      <w:r>
        <w:rPr>
          <w:sz w:val="19"/>
          <w:szCs w:val="19"/>
        </w:rPr>
        <w:t xml:space="preserve"> 3.3. See Optatus, </w:t>
      </w:r>
      <w:r>
        <w:rPr>
          <w:i/>
          <w:iCs/>
          <w:sz w:val="19"/>
          <w:szCs w:val="19"/>
        </w:rPr>
        <w:t xml:space="preserve">Against the Donatists</w:t>
      </w:r>
      <w:r>
        <w:rPr>
          <w:sz w:val="19"/>
          <w:szCs w:val="19"/>
        </w:rPr>
        <w:t xml:space="preserve">, trans. Mark Edwards, Translated Texts for Historians (Liverpool: Liverpool University Press, 1997).</w:t>
      </w:r>
    </w:p>
    <w:p>
      <w:pPr>
        <w:tabs>
          <w:tab w:val="left" w:pos="360"/>
        </w:tabs>
        <w:spacing w:after="70" w:line="252"/>
        <w:ind w:left="360" w:hanging="360"/>
      </w:pPr>
      <w:bookmarkStart w:id="1052" w:name="note_15_11"/>
      <w:bookmarkEnd w:id="1052"/>
      <w:r>
        <w:rPr>
          <w:sz w:val="19"/>
          <w:szCs w:val="19"/>
        </w:rPr>
        <w:t xml:space="preserve">11.	Hilary of Poitiers, </w:t>
      </w:r>
      <w:r>
        <w:rPr>
          <w:i/>
          <w:iCs/>
          <w:sz w:val="19"/>
          <w:szCs w:val="19"/>
        </w:rPr>
        <w:t xml:space="preserve">Against Constantius</w:t>
      </w:r>
      <w:r>
        <w:rPr>
          <w:sz w:val="19"/>
          <w:szCs w:val="19"/>
        </w:rPr>
        <w:t xml:space="preserve"> 5. See Hilary of Poitiers, </w:t>
      </w:r>
      <w:r>
        <w:rPr>
          <w:i/>
          <w:iCs/>
          <w:sz w:val="19"/>
          <w:szCs w:val="19"/>
        </w:rPr>
        <w:t xml:space="preserve">Conflicts of Conscience and Law in the Fourth-Century Church</w:t>
      </w:r>
      <w:r>
        <w:rPr>
          <w:sz w:val="19"/>
          <w:szCs w:val="19"/>
        </w:rPr>
        <w:t xml:space="preserve">, trans. Lionel R. Wickham, Translated Texts for Historians (Liverpool: Liverpool University Press, 1997).</w:t>
      </w:r>
    </w:p>
    <w:p>
      <w:pPr>
        <w:tabs>
          <w:tab w:val="left" w:pos="360"/>
        </w:tabs>
        <w:spacing w:after="70" w:line="252"/>
        <w:ind w:left="360" w:hanging="360"/>
      </w:pPr>
      <w:bookmarkStart w:id="1053" w:name="note_15_12"/>
      <w:bookmarkEnd w:id="1053"/>
      <w:r>
        <w:rPr>
          <w:sz w:val="19"/>
          <w:szCs w:val="19"/>
        </w:rPr>
        <w:t xml:space="preserve">12.	Gregory of Nazianzus, </w:t>
      </w:r>
      <w:r>
        <w:rPr>
          <w:i/>
          <w:iCs/>
          <w:sz w:val="19"/>
          <w:szCs w:val="19"/>
        </w:rPr>
        <w:t xml:space="preserve">Oration</w:t>
      </w:r>
      <w:r>
        <w:rPr>
          <w:sz w:val="19"/>
          <w:szCs w:val="19"/>
        </w:rPr>
        <w:t xml:space="preserve"> 43.48–51 (“Funeral Oration on Basil the Great”), in </w:t>
      </w:r>
      <w:r>
        <w:rPr>
          <w:i/>
          <w:iCs/>
          <w:sz w:val="19"/>
          <w:szCs w:val="19"/>
        </w:rPr>
        <w:t xml:space="preserve">Nicene and Post-Nicene Fathers</w:t>
      </w:r>
      <w:r>
        <w:rPr>
          <w:sz w:val="19"/>
          <w:szCs w:val="19"/>
        </w:rPr>
        <w:t xml:space="preserve">, second series, vol. 7.</w:t>
      </w:r>
    </w:p>
    <w:p>
      <w:pPr>
        <w:tabs>
          <w:tab w:val="left" w:pos="360"/>
        </w:tabs>
        <w:spacing w:after="70" w:line="252"/>
        <w:ind w:left="360" w:hanging="360"/>
      </w:pPr>
      <w:bookmarkStart w:id="1054" w:name="note_15_13"/>
      <w:bookmarkEnd w:id="1054"/>
      <w:r>
        <w:rPr>
          <w:sz w:val="19"/>
          <w:szCs w:val="19"/>
        </w:rPr>
        <w:t xml:space="preserve">13.	Gregory of Nazianzus, </w:t>
      </w:r>
      <w:r>
        <w:rPr>
          <w:i/>
          <w:iCs/>
          <w:sz w:val="19"/>
          <w:szCs w:val="19"/>
        </w:rPr>
        <w:t xml:space="preserve">Oration</w:t>
      </w:r>
      <w:r>
        <w:rPr>
          <w:sz w:val="19"/>
          <w:szCs w:val="19"/>
        </w:rPr>
        <w:t xml:space="preserve"> 43.63.</w:t>
      </w:r>
    </w:p>
    <w:p>
      <w:pPr>
        <w:keepNext/>
        <w:spacing w:after="100" w:before="260"/>
      </w:pPr>
      <w:r>
        <w:rPr>
          <w:b/>
          <w:bCs/>
          <w:color w:val="1F3864"/>
          <w:sz w:val="20"/>
          <w:szCs w:val="20"/>
        </w:rPr>
        <w:t xml:space="preserve">Chapter 16: Contemporary Church Leaders: Falls, Lessons and Faithful Examples</w:t>
      </w:r>
    </w:p>
    <w:p>
      <w:pPr>
        <w:tabs>
          <w:tab w:val="left" w:pos="360"/>
        </w:tabs>
        <w:spacing w:after="70" w:line="252"/>
        <w:ind w:left="360" w:hanging="360"/>
      </w:pPr>
      <w:bookmarkStart w:id="1055" w:name="note_16_1"/>
      <w:bookmarkEnd w:id="1055"/>
      <w:r>
        <w:rPr>
          <w:sz w:val="19"/>
          <w:szCs w:val="19"/>
        </w:rPr>
        <w:t xml:space="preserve">1.	</w:t>
      </w:r>
      <w:r>
        <w:rPr>
          <w:i/>
          <w:iCs/>
          <w:sz w:val="19"/>
          <w:szCs w:val="19"/>
        </w:rPr>
        <w:t xml:space="preserve">United States v. Bakker</w:t>
      </w:r>
      <w:r>
        <w:rPr>
          <w:sz w:val="19"/>
          <w:szCs w:val="19"/>
        </w:rPr>
        <w:t xml:space="preserve">, 925 F.2d 728 (4th Cir. 1991).</w:t>
      </w:r>
    </w:p>
    <w:p>
      <w:pPr>
        <w:tabs>
          <w:tab w:val="left" w:pos="360"/>
        </w:tabs>
        <w:spacing w:after="70" w:line="252"/>
        <w:ind w:left="360" w:hanging="360"/>
      </w:pPr>
      <w:bookmarkStart w:id="1056" w:name="note_16_2"/>
      <w:bookmarkEnd w:id="1056"/>
      <w:r>
        <w:rPr>
          <w:sz w:val="19"/>
          <w:szCs w:val="19"/>
        </w:rPr>
        <w:t xml:space="preserve">2.	Jim Bakker, with Ken Abraham, </w:t>
      </w:r>
      <w:r>
        <w:rPr>
          <w:i/>
          <w:iCs/>
          <w:sz w:val="19"/>
          <w:szCs w:val="19"/>
        </w:rPr>
        <w:t xml:space="preserve">I Was Wrong</w:t>
      </w:r>
      <w:r>
        <w:rPr>
          <w:sz w:val="19"/>
          <w:szCs w:val="19"/>
        </w:rPr>
        <w:t xml:space="preserve"> (Nashville: Thomas Nelson, 1996).</w:t>
      </w:r>
    </w:p>
    <w:p>
      <w:pPr>
        <w:tabs>
          <w:tab w:val="left" w:pos="360"/>
        </w:tabs>
        <w:spacing w:after="70" w:line="252"/>
        <w:ind w:left="360" w:hanging="360"/>
      </w:pPr>
      <w:bookmarkStart w:id="1057" w:name="note_16_3"/>
      <w:bookmarkEnd w:id="1057"/>
      <w:r>
        <w:rPr>
          <w:sz w:val="19"/>
          <w:szCs w:val="19"/>
        </w:rPr>
        <w:t xml:space="preserve">3.	On both scandals and their wider significance, see Randall Balmer, </w:t>
      </w:r>
      <w:r>
        <w:rPr>
          <w:i/>
          <w:iCs/>
          <w:sz w:val="19"/>
          <w:szCs w:val="19"/>
        </w:rPr>
        <w:t xml:space="preserve">Mine Eyes Have Seen the Glory: A Journey into the Evangelical Subculture in America</w:t>
      </w:r>
      <w:r>
        <w:rPr>
          <w:sz w:val="19"/>
          <w:szCs w:val="19"/>
        </w:rPr>
        <w:t xml:space="preserve">, 5th ed. (New York: Oxford University Press, 2014).</w:t>
      </w:r>
    </w:p>
    <w:p>
      <w:pPr>
        <w:tabs>
          <w:tab w:val="left" w:pos="360"/>
        </w:tabs>
        <w:spacing w:after="70" w:line="252"/>
        <w:ind w:left="360" w:hanging="360"/>
      </w:pPr>
      <w:bookmarkStart w:id="1058" w:name="note_16_4"/>
      <w:bookmarkEnd w:id="1058"/>
      <w:r>
        <w:rPr>
          <w:sz w:val="19"/>
          <w:szCs w:val="19"/>
        </w:rPr>
        <w:t xml:space="preserve">4.	Gordon MacDonald, </w:t>
      </w:r>
      <w:r>
        <w:rPr>
          <w:i/>
          <w:iCs/>
          <w:sz w:val="19"/>
          <w:szCs w:val="19"/>
        </w:rPr>
        <w:t xml:space="preserve">Rebuilding Your Broken World</w:t>
      </w:r>
      <w:r>
        <w:rPr>
          <w:sz w:val="19"/>
          <w:szCs w:val="19"/>
        </w:rPr>
        <w:t xml:space="preserve"> (Nashville: Thomas Nelson, 1988).</w:t>
      </w:r>
    </w:p>
    <w:p>
      <w:pPr>
        <w:tabs>
          <w:tab w:val="left" w:pos="360"/>
        </w:tabs>
        <w:spacing w:after="70" w:line="252"/>
        <w:ind w:left="360" w:hanging="360"/>
      </w:pPr>
      <w:bookmarkStart w:id="1059" w:name="note_16_5"/>
      <w:bookmarkEnd w:id="1059"/>
      <w:r>
        <w:rPr>
          <w:sz w:val="19"/>
          <w:szCs w:val="19"/>
        </w:rPr>
        <w:t xml:space="preserve">5.	Ted Haggard, letter to New Life Church, Colorado Springs, read to the congregation on 5 November 2006 and widely published in the press.</w:t>
      </w:r>
    </w:p>
    <w:p>
      <w:pPr>
        <w:tabs>
          <w:tab w:val="left" w:pos="360"/>
        </w:tabs>
        <w:spacing w:after="70" w:line="252"/>
        <w:ind w:left="360" w:hanging="360"/>
      </w:pPr>
      <w:bookmarkStart w:id="1060" w:name="note_16_6"/>
      <w:bookmarkEnd w:id="1060"/>
      <w:r>
        <w:rPr>
          <w:sz w:val="19"/>
          <w:szCs w:val="19"/>
        </w:rPr>
        <w:t xml:space="preserve">6.	Mike Cosper, </w:t>
      </w:r>
      <w:r>
        <w:rPr>
          <w:i/>
          <w:iCs/>
          <w:sz w:val="19"/>
          <w:szCs w:val="19"/>
        </w:rPr>
        <w:t xml:space="preserve">The Rise and Fall of Mars Hill</w:t>
      </w:r>
      <w:r>
        <w:rPr>
          <w:sz w:val="19"/>
          <w:szCs w:val="19"/>
        </w:rPr>
        <w:t xml:space="preserve">, podcast, </w:t>
      </w:r>
      <w:r>
        <w:rPr>
          <w:i/>
          <w:iCs/>
          <w:sz w:val="19"/>
          <w:szCs w:val="19"/>
        </w:rPr>
        <w:t xml:space="preserve">Christianity Today</w:t>
      </w:r>
      <w:r>
        <w:rPr>
          <w:sz w:val="19"/>
          <w:szCs w:val="19"/>
        </w:rPr>
        <w:t xml:space="preserve">, 2021.</w:t>
      </w:r>
    </w:p>
    <w:p>
      <w:pPr>
        <w:tabs>
          <w:tab w:val="left" w:pos="360"/>
        </w:tabs>
        <w:spacing w:after="70" w:line="252"/>
        <w:ind w:left="360" w:hanging="360"/>
      </w:pPr>
      <w:bookmarkStart w:id="1061" w:name="note_16_7"/>
      <w:bookmarkEnd w:id="1061"/>
      <w:r>
        <w:rPr>
          <w:sz w:val="19"/>
          <w:szCs w:val="19"/>
        </w:rPr>
        <w:t xml:space="preserve">7.	Willow Creek Independent Advisory Group, </w:t>
      </w:r>
      <w:r>
        <w:rPr>
          <w:i/>
          <w:iCs/>
          <w:sz w:val="19"/>
          <w:szCs w:val="19"/>
        </w:rPr>
        <w:t xml:space="preserve">Report of the Independent Advisory Group</w:t>
      </w:r>
      <w:r>
        <w:rPr>
          <w:sz w:val="19"/>
          <w:szCs w:val="19"/>
        </w:rPr>
        <w:t xml:space="preserve"> (February 2019).</w:t>
      </w:r>
    </w:p>
    <w:p>
      <w:pPr>
        <w:tabs>
          <w:tab w:val="left" w:pos="360"/>
        </w:tabs>
        <w:spacing w:after="70" w:line="252"/>
        <w:ind w:left="360" w:hanging="360"/>
      </w:pPr>
      <w:bookmarkStart w:id="1062" w:name="note_16_8"/>
      <w:bookmarkEnd w:id="1062"/>
      <w:r>
        <w:rPr>
          <w:sz w:val="19"/>
          <w:szCs w:val="19"/>
        </w:rPr>
        <w:t xml:space="preserve">8.	Miller &amp; Martens PLLC, </w:t>
      </w:r>
      <w:r>
        <w:rPr>
          <w:i/>
          <w:iCs/>
          <w:sz w:val="19"/>
          <w:szCs w:val="19"/>
        </w:rPr>
        <w:t xml:space="preserve">Report of Independent Investigation into Sexual Misconduct of Ravi Zacharias</w:t>
      </w:r>
      <w:r>
        <w:rPr>
          <w:sz w:val="19"/>
          <w:szCs w:val="19"/>
        </w:rPr>
        <w:t xml:space="preserve"> (February 2021).</w:t>
      </w:r>
    </w:p>
    <w:p>
      <w:pPr>
        <w:tabs>
          <w:tab w:val="left" w:pos="360"/>
        </w:tabs>
        <w:spacing w:after="70" w:line="252"/>
        <w:ind w:left="360" w:hanging="360"/>
      </w:pPr>
      <w:bookmarkStart w:id="1063" w:name="note_16_9"/>
      <w:bookmarkEnd w:id="1063"/>
      <w:r>
        <w:rPr>
          <w:sz w:val="19"/>
          <w:szCs w:val="19"/>
        </w:rPr>
        <w:t xml:space="preserve">9.	Scot McKnight and Laura Barringer, </w:t>
      </w:r>
      <w:r>
        <w:rPr>
          <w:i/>
          <w:iCs/>
          <w:sz w:val="19"/>
          <w:szCs w:val="19"/>
        </w:rPr>
        <w:t xml:space="preserve">A Church Called Tov: Forming a Goodness Culture That Resists Abuses of Power and Promotes Healing</w:t>
      </w:r>
      <w:r>
        <w:rPr>
          <w:sz w:val="19"/>
          <w:szCs w:val="19"/>
        </w:rPr>
        <w:t xml:space="preserve"> (Carol Stream, IL: Tyndale Momentum, 2020).</w:t>
      </w:r>
    </w:p>
    <w:p>
      <w:pPr>
        <w:tabs>
          <w:tab w:val="left" w:pos="360"/>
        </w:tabs>
        <w:spacing w:after="70" w:line="252"/>
        <w:ind w:left="360" w:hanging="360"/>
      </w:pPr>
      <w:bookmarkStart w:id="1064" w:name="note_16_10"/>
      <w:bookmarkEnd w:id="1064"/>
      <w:r>
        <w:rPr>
          <w:sz w:val="19"/>
          <w:szCs w:val="19"/>
        </w:rPr>
        <w:t xml:space="preserve">10.	Graham, </w:t>
      </w:r>
      <w:r>
        <w:rPr>
          <w:i/>
          <w:iCs/>
          <w:sz w:val="19"/>
          <w:szCs w:val="19"/>
        </w:rPr>
        <w:t xml:space="preserve">Just As I Am</w:t>
      </w:r>
      <w:r>
        <w:rPr>
          <w:sz w:val="19"/>
          <w:szCs w:val="19"/>
        </w:rPr>
        <w:t xml:space="preserve">.</w:t>
      </w:r>
    </w:p>
    <w:p>
      <w:pPr>
        <w:tabs>
          <w:tab w:val="left" w:pos="360"/>
        </w:tabs>
        <w:spacing w:after="70" w:line="252"/>
        <w:ind w:left="360" w:hanging="360"/>
      </w:pPr>
      <w:bookmarkStart w:id="1065" w:name="note_16_11"/>
      <w:bookmarkEnd w:id="1065"/>
      <w:r>
        <w:rPr>
          <w:sz w:val="19"/>
          <w:szCs w:val="19"/>
        </w:rPr>
        <w:t xml:space="preserve">11.	Timothy Dudley-Smith, </w:t>
      </w:r>
      <w:r>
        <w:rPr>
          <w:i/>
          <w:iCs/>
          <w:sz w:val="19"/>
          <w:szCs w:val="19"/>
        </w:rPr>
        <w:t xml:space="preserve">John Stott: A Global Ministry</w:t>
      </w:r>
      <w:r>
        <w:rPr>
          <w:sz w:val="19"/>
          <w:szCs w:val="19"/>
        </w:rPr>
        <w:t xml:space="preserve"> (Downers Grove, IL: InterVarsity Press, 2001).</w:t>
      </w:r>
    </w:p>
    <w:p>
      <w:pPr>
        <w:keepNext/>
        <w:spacing w:after="100" w:before="260"/>
      </w:pPr>
      <w:r>
        <w:rPr>
          <w:b/>
          <w:bCs/>
          <w:color w:val="1F3864"/>
          <w:sz w:val="20"/>
          <w:szCs w:val="20"/>
        </w:rPr>
        <w:t xml:space="preserve">Chapter 17: Contemporary Implications for Africa and Nigeria</w:t>
      </w:r>
    </w:p>
    <w:p>
      <w:pPr>
        <w:tabs>
          <w:tab w:val="left" w:pos="360"/>
        </w:tabs>
        <w:spacing w:after="70" w:line="252"/>
        <w:ind w:left="360" w:hanging="360"/>
      </w:pPr>
      <w:bookmarkStart w:id="1066" w:name="note_17_1"/>
      <w:bookmarkEnd w:id="1066"/>
      <w:r>
        <w:rPr>
          <w:sz w:val="19"/>
          <w:szCs w:val="19"/>
        </w:rPr>
        <w:t xml:space="preserve">1.	Chinua Achebe, </w:t>
      </w:r>
      <w:r>
        <w:rPr>
          <w:i/>
          <w:iCs/>
          <w:sz w:val="19"/>
          <w:szCs w:val="19"/>
        </w:rPr>
        <w:t xml:space="preserve">The Trouble with Nigeria</w:t>
      </w:r>
      <w:r>
        <w:rPr>
          <w:sz w:val="19"/>
          <w:szCs w:val="19"/>
        </w:rPr>
        <w:t xml:space="preserve"> (Enugu: Fourth Dimension Publishers, 1983).</w:t>
      </w:r>
    </w:p>
    <w:p>
      <w:pPr>
        <w:tabs>
          <w:tab w:val="left" w:pos="360"/>
        </w:tabs>
        <w:spacing w:after="70" w:line="252"/>
        <w:ind w:left="360" w:hanging="360"/>
      </w:pPr>
      <w:bookmarkStart w:id="1067" w:name="note_17_2"/>
      <w:bookmarkEnd w:id="1067"/>
      <w:r>
        <w:rPr>
          <w:sz w:val="19"/>
          <w:szCs w:val="19"/>
        </w:rPr>
        <w:t xml:space="preserve">2.	Ogbu U. Kalu, </w:t>
      </w:r>
      <w:r>
        <w:rPr>
          <w:i/>
          <w:iCs/>
          <w:sz w:val="19"/>
          <w:szCs w:val="19"/>
        </w:rPr>
        <w:t xml:space="preserve">African Pentecostalism: An Introduction</w:t>
      </w:r>
      <w:r>
        <w:rPr>
          <w:sz w:val="19"/>
          <w:szCs w:val="19"/>
        </w:rPr>
        <w:t xml:space="preserve"> (Oxford: Oxford University Press, 2008).</w:t>
      </w:r>
    </w:p>
    <w:p>
      <w:pPr>
        <w:tabs>
          <w:tab w:val="left" w:pos="360"/>
        </w:tabs>
        <w:spacing w:after="70" w:line="252"/>
        <w:ind w:left="360" w:hanging="360"/>
      </w:pPr>
      <w:bookmarkStart w:id="1068" w:name="note_17_3"/>
      <w:bookmarkEnd w:id="1068"/>
      <w:r>
        <w:rPr>
          <w:sz w:val="19"/>
          <w:szCs w:val="19"/>
        </w:rPr>
        <w:t xml:space="preserve">3.	Paul Gifford, </w:t>
      </w:r>
      <w:r>
        <w:rPr>
          <w:i/>
          <w:iCs/>
          <w:sz w:val="19"/>
          <w:szCs w:val="19"/>
        </w:rPr>
        <w:t xml:space="preserve">Ghana’s New Christianity: Pentecostalism in a Globalising African Economy</w:t>
      </w:r>
      <w:r>
        <w:rPr>
          <w:sz w:val="19"/>
          <w:szCs w:val="19"/>
        </w:rPr>
        <w:t xml:space="preserve"> (Bloomington: Indiana University Press, 2004).</w:t>
      </w:r>
    </w:p>
    <w:p>
      <w:pPr>
        <w:tabs>
          <w:tab w:val="left" w:pos="360"/>
        </w:tabs>
        <w:spacing w:after="70" w:line="252"/>
        <w:ind w:left="360" w:hanging="360"/>
      </w:pPr>
      <w:bookmarkStart w:id="1069" w:name="note_17_4"/>
      <w:bookmarkEnd w:id="1069"/>
      <w:r>
        <w:rPr>
          <w:sz w:val="19"/>
          <w:szCs w:val="19"/>
        </w:rPr>
        <w:t xml:space="preserve">4.	On the history of the RCCG and its leadership transition, see Asonzeh Ukah, </w:t>
      </w:r>
      <w:r>
        <w:rPr>
          <w:i/>
          <w:iCs/>
          <w:sz w:val="19"/>
          <w:szCs w:val="19"/>
        </w:rPr>
        <w:t xml:space="preserve">A New Paradigm of Pentecostal Power: A Study of the Redeemed Christian Church of God in Nigeria</w:t>
      </w:r>
      <w:r>
        <w:rPr>
          <w:sz w:val="19"/>
          <w:szCs w:val="19"/>
        </w:rPr>
        <w:t xml:space="preserve"> (Trenton, NJ: Africa World Press, 2008).</w:t>
      </w:r>
    </w:p>
    <w:p>
      <w:pPr>
        <w:tabs>
          <w:tab w:val="left" w:pos="360"/>
        </w:tabs>
        <w:spacing w:after="70" w:line="252"/>
        <w:ind w:left="360" w:hanging="360"/>
      </w:pPr>
      <w:bookmarkStart w:id="1070" w:name="note_17_5"/>
      <w:bookmarkEnd w:id="1070"/>
      <w:r>
        <w:rPr>
          <w:sz w:val="19"/>
          <w:szCs w:val="19"/>
        </w:rPr>
        <w:t xml:space="preserve">5.	The events were widely reported in the Nigerian press in January 2017; see, for example, “’This Law Is Not for General Overseers’ and Other Things You Should Know about the FRC Code,” </w:t>
      </w:r>
      <w:r>
        <w:rPr>
          <w:i/>
          <w:iCs/>
          <w:sz w:val="19"/>
          <w:szCs w:val="19"/>
        </w:rPr>
        <w:t xml:space="preserve">TheCable</w:t>
      </w:r>
      <w:r>
        <w:rPr>
          <w:sz w:val="19"/>
          <w:szCs w:val="19"/>
        </w:rPr>
        <w:t xml:space="preserve">, 13 January 2017.</w:t>
      </w:r>
    </w:p>
    <w:p>
      <w:pPr>
        <w:tabs>
          <w:tab w:val="left" w:pos="360"/>
        </w:tabs>
        <w:spacing w:after="70" w:line="252"/>
        <w:ind w:left="360" w:hanging="360"/>
      </w:pPr>
      <w:bookmarkStart w:id="1071" w:name="note_17_6"/>
      <w:bookmarkEnd w:id="1071"/>
      <w:r>
        <w:rPr>
          <w:sz w:val="19"/>
          <w:szCs w:val="19"/>
        </w:rPr>
        <w:t xml:space="preserve">6.	Companies and Allied Matters Act 2020 (Nigeria), section 839.</w:t>
      </w:r>
    </w:p>
    <w:p>
      <w:pPr>
        <w:tabs>
          <w:tab w:val="left" w:pos="360"/>
        </w:tabs>
        <w:spacing w:after="70" w:line="252"/>
        <w:ind w:left="360" w:hanging="360"/>
      </w:pPr>
      <w:bookmarkStart w:id="1072" w:name="note_17_7"/>
      <w:bookmarkEnd w:id="1072"/>
      <w:r>
        <w:rPr>
          <w:sz w:val="19"/>
          <w:szCs w:val="19"/>
        </w:rPr>
        <w:t xml:space="preserve">7.	Tokunboh Adeyemo, ed., </w:t>
      </w:r>
      <w:r>
        <w:rPr>
          <w:i/>
          <w:iCs/>
          <w:sz w:val="19"/>
          <w:szCs w:val="19"/>
        </w:rPr>
        <w:t xml:space="preserve">Africa Bible Commentary</w:t>
      </w:r>
      <w:r>
        <w:rPr>
          <w:sz w:val="19"/>
          <w:szCs w:val="19"/>
        </w:rPr>
        <w:t xml:space="preserve"> (Nairobi: WordAlive Publishers; Grand Rapids: Zondervan, 2006).</w:t>
      </w:r>
    </w:p>
    <w:p>
      <w:pPr>
        <w:keepNext/>
        <w:spacing w:after="100" w:before="260"/>
      </w:pPr>
      <w:r>
        <w:rPr>
          <w:b/>
          <w:bCs/>
          <w:color w:val="1F3864"/>
          <w:sz w:val="20"/>
          <w:szCs w:val="20"/>
        </w:rPr>
        <w:t xml:space="preserve">Chapter 18: Safeguards: Building a Life That Does Not Fall</w:t>
      </w:r>
    </w:p>
    <w:p>
      <w:pPr>
        <w:tabs>
          <w:tab w:val="left" w:pos="360"/>
        </w:tabs>
        <w:spacing w:after="70" w:line="252"/>
        <w:ind w:left="360" w:hanging="360"/>
      </w:pPr>
      <w:bookmarkStart w:id="1073" w:name="note_18_1"/>
      <w:bookmarkEnd w:id="1073"/>
      <w:r>
        <w:rPr>
          <w:sz w:val="19"/>
          <w:szCs w:val="19"/>
        </w:rPr>
        <w:t xml:space="preserve">1.	Juvenal, </w:t>
      </w:r>
      <w:r>
        <w:rPr>
          <w:i/>
          <w:iCs/>
          <w:sz w:val="19"/>
          <w:szCs w:val="19"/>
        </w:rPr>
        <w:t xml:space="preserve">Satires</w:t>
      </w:r>
      <w:r>
        <w:rPr>
          <w:sz w:val="19"/>
          <w:szCs w:val="19"/>
        </w:rPr>
        <w:t xml:space="preserve"> 6.347–348.</w:t>
      </w:r>
    </w:p>
    <w:p>
      <w:pPr>
        <w:sectPr>
          <w:headerReference w:type="default" r:id="rId123"/>
          <w:headerReference w:type="first" r:id="rId124"/>
          <w:footerReference w:type="default" r:id="rId125"/>
          <w:footerReference w:type="first" r:id="rId126"/>
          <w:type w:val="nextPage"/>
          <w:pgSz w:w="8640" w:h="12960" w:orient="portrait"/>
          <w:pgMar w:top="1080" w:right="936" w:bottom="1008" w:left="1008" w:header="560" w:footer="520" w:gutter="0"/>
          <w:pgNumType w:fmt="decimal"/>
          <w:titlePg/>
          <w:docGrid w:linePitch="360"/>
        </w:sectPr>
      </w:pPr>
    </w:p>
    <w:p>
      <w:pPr>
        <w:spacing w:after="160" w:before="1300"/>
        <w:jc w:val="center"/>
      </w:pPr>
      <w:r>
        <w:rPr>
          <w:b/>
          <w:bCs/>
          <w:color w:val="A67C1A"/>
          <w:spacing w:val="60"/>
          <w:sz w:val="20"/>
          <w:szCs w:val="20"/>
        </w:rPr>
        <w:t xml:space="preserve">BIBLIOGRAPHY</w:t>
      </w:r>
    </w:p>
    <w:p>
      <w:pPr>
        <w:pStyle w:val="Heading1"/>
      </w:pPr>
      <w:bookmarkStart w:id="1096" w:name="toc_908"/>
      <w:r>
        <w:t xml:space="preserve">Select Bibliography</w:t>
      </w:r>
      <w:bookmarkEnd w:id="1096"/>
    </w:p>
    <w:p>
      <w:pPr>
        <w:pBdr>
          <w:bottom w:val="single" w:color="A67C1A" w:sz="8" w:space="1"/>
        </w:pBdr>
        <w:spacing w:after="240" w:before="120"/>
        <w:ind w:left="2448" w:right="2448"/>
        <w:jc w:val="center"/>
      </w:pPr>
    </w:p>
    <w:p>
      <w:pPr>
        <w:pStyle w:val="Heading2"/>
      </w:pPr>
      <w:r>
        <w:t xml:space="preserve">Ancient and Patristic Sources</w:t>
      </w:r>
    </w:p>
    <w:p>
      <w:pPr>
        <w:spacing w:after="90" w:line="264"/>
        <w:ind w:left="432" w:hanging="432"/>
      </w:pPr>
      <w:r>
        <w:rPr>
          <w:sz w:val="20"/>
          <w:szCs w:val="20"/>
        </w:rPr>
        <w:t xml:space="preserve">Ammianus Marcellinus. </w:t>
      </w:r>
      <w:r>
        <w:rPr>
          <w:i/>
          <w:iCs/>
          <w:sz w:val="20"/>
          <w:szCs w:val="20"/>
        </w:rPr>
        <w:t xml:space="preserve">Res Gestae</w:t>
      </w:r>
      <w:r>
        <w:rPr>
          <w:sz w:val="20"/>
          <w:szCs w:val="20"/>
        </w:rPr>
        <w:t xml:space="preserve">. Translated by J. C. Rolfe. Loeb Classical Library. Cambridge, MA: Harvard University Press, 1939.</w:t>
      </w:r>
    </w:p>
    <w:p>
      <w:pPr>
        <w:spacing w:after="90" w:line="264"/>
        <w:ind w:left="432" w:hanging="432"/>
      </w:pPr>
      <w:r>
        <w:rPr>
          <w:sz w:val="20"/>
          <w:szCs w:val="20"/>
        </w:rPr>
        <w:t xml:space="preserve">Ambrose of Milan. </w:t>
      </w:r>
      <w:r>
        <w:rPr>
          <w:i/>
          <w:iCs/>
          <w:sz w:val="20"/>
          <w:szCs w:val="20"/>
        </w:rPr>
        <w:t xml:space="preserve">Epistles</w:t>
      </w:r>
      <w:r>
        <w:rPr>
          <w:sz w:val="20"/>
          <w:szCs w:val="20"/>
        </w:rPr>
        <w:t xml:space="preserve">. In </w:t>
      </w:r>
      <w:r>
        <w:rPr>
          <w:i/>
          <w:iCs/>
          <w:sz w:val="20"/>
          <w:szCs w:val="20"/>
        </w:rPr>
        <w:t xml:space="preserve">Nicene and Post-Nicene Fathers</w:t>
      </w:r>
      <w:r>
        <w:rPr>
          <w:sz w:val="20"/>
          <w:szCs w:val="20"/>
        </w:rPr>
        <w:t xml:space="preserve">, second series, vol. 10. Edited by Philip Schaff and Henry Wace. New York: Christian Literature Company, 1896.</w:t>
      </w:r>
    </w:p>
    <w:p>
      <w:pPr>
        <w:spacing w:after="90" w:line="264"/>
        <w:ind w:left="432" w:hanging="432"/>
      </w:pPr>
      <w:r>
        <w:rPr>
          <w:sz w:val="20"/>
          <w:szCs w:val="20"/>
        </w:rPr>
        <w:t xml:space="preserve">Augustine of Hippo. </w:t>
      </w:r>
      <w:r>
        <w:rPr>
          <w:i/>
          <w:iCs/>
          <w:sz w:val="20"/>
          <w:szCs w:val="20"/>
        </w:rPr>
        <w:t xml:space="preserve">The City of God</w:t>
      </w:r>
      <w:r>
        <w:rPr>
          <w:sz w:val="20"/>
          <w:szCs w:val="20"/>
        </w:rPr>
        <w:t xml:space="preserve">. In </w:t>
      </w:r>
      <w:r>
        <w:rPr>
          <w:i/>
          <w:iCs/>
          <w:sz w:val="20"/>
          <w:szCs w:val="20"/>
        </w:rPr>
        <w:t xml:space="preserve">Nicene and Post-Nicene Fathers</w:t>
      </w:r>
      <w:r>
        <w:rPr>
          <w:sz w:val="20"/>
          <w:szCs w:val="20"/>
        </w:rPr>
        <w:t xml:space="preserve">, first series, vol. 2. Edited by Philip Schaff. Buffalo: Christian Literature Publishing, 1887.</w:t>
      </w:r>
    </w:p>
    <w:p>
      <w:pPr>
        <w:spacing w:after="90" w:line="264"/>
        <w:ind w:left="432" w:hanging="432"/>
      </w:pPr>
      <w:r>
        <w:rPr>
          <w:sz w:val="20"/>
          <w:szCs w:val="20"/>
        </w:rPr>
        <w:t xml:space="preserve">Augustine of Hippo. </w:t>
      </w:r>
      <w:r>
        <w:rPr>
          <w:i/>
          <w:iCs/>
          <w:sz w:val="20"/>
          <w:szCs w:val="20"/>
        </w:rPr>
        <w:t xml:space="preserve">Sermons</w:t>
      </w:r>
      <w:r>
        <w:rPr>
          <w:sz w:val="20"/>
          <w:szCs w:val="20"/>
        </w:rPr>
        <w:t xml:space="preserve">. Sermon 340.</w:t>
      </w:r>
    </w:p>
    <w:p>
      <w:pPr>
        <w:spacing w:after="90" w:line="264"/>
        <w:ind w:left="432" w:hanging="432"/>
      </w:pPr>
      <w:r>
        <w:rPr>
          <w:sz w:val="20"/>
          <w:szCs w:val="20"/>
        </w:rPr>
        <w:t xml:space="preserve">Basil of Caesarea. </w:t>
      </w:r>
      <w:r>
        <w:rPr>
          <w:i/>
          <w:iCs/>
          <w:sz w:val="20"/>
          <w:szCs w:val="20"/>
        </w:rPr>
        <w:t xml:space="preserve">St. Basil the Great: On Christian Doctrine and Practice</w:t>
      </w:r>
      <w:r>
        <w:rPr>
          <w:sz w:val="20"/>
          <w:szCs w:val="20"/>
        </w:rPr>
        <w:t xml:space="preserve">. Translated by Mark DelCogliano. Yonkers, NY: St Vladimir’s Seminary Press, 2012.</w:t>
      </w:r>
    </w:p>
    <w:p>
      <w:pPr>
        <w:spacing w:after="90" w:line="264"/>
        <w:ind w:left="432" w:hanging="432"/>
      </w:pPr>
      <w:r>
        <w:rPr>
          <w:sz w:val="20"/>
          <w:szCs w:val="20"/>
        </w:rPr>
        <w:t xml:space="preserve">Benedict of Nursia. </w:t>
      </w:r>
      <w:r>
        <w:rPr>
          <w:i/>
          <w:iCs/>
          <w:sz w:val="20"/>
          <w:szCs w:val="20"/>
        </w:rPr>
        <w:t xml:space="preserve">RB 1980: The Rule of St. Benedict in Latin and English with Notes</w:t>
      </w:r>
      <w:r>
        <w:rPr>
          <w:sz w:val="20"/>
          <w:szCs w:val="20"/>
        </w:rPr>
        <w:t xml:space="preserve">. Edited by Timothy Fry. Collegeville, MN: Liturgical Press, 1981.</w:t>
      </w:r>
    </w:p>
    <w:p>
      <w:pPr>
        <w:spacing w:after="90" w:line="264"/>
        <w:ind w:left="432" w:hanging="432"/>
      </w:pPr>
      <w:r>
        <w:rPr>
          <w:sz w:val="20"/>
          <w:szCs w:val="20"/>
        </w:rPr>
        <w:t xml:space="preserve">Cassian, John. </w:t>
      </w:r>
      <w:r>
        <w:rPr>
          <w:i/>
          <w:iCs/>
          <w:sz w:val="20"/>
          <w:szCs w:val="20"/>
        </w:rPr>
        <w:t xml:space="preserve">Institutes</w:t>
      </w:r>
      <w:r>
        <w:rPr>
          <w:sz w:val="20"/>
          <w:szCs w:val="20"/>
        </w:rPr>
        <w:t xml:space="preserve">. In </w:t>
      </w:r>
      <w:r>
        <w:rPr>
          <w:i/>
          <w:iCs/>
          <w:sz w:val="20"/>
          <w:szCs w:val="20"/>
        </w:rPr>
        <w:t xml:space="preserve">Nicene and Post-Nicene Fathers</w:t>
      </w:r>
      <w:r>
        <w:rPr>
          <w:sz w:val="20"/>
          <w:szCs w:val="20"/>
        </w:rPr>
        <w:t xml:space="preserve">, second series, vol. 11. New York: Christian Literature Company, 1894.</w:t>
      </w:r>
    </w:p>
    <w:p>
      <w:pPr>
        <w:spacing w:after="90" w:line="264"/>
        <w:ind w:left="432" w:hanging="432"/>
      </w:pPr>
      <w:r>
        <w:rPr>
          <w:sz w:val="20"/>
          <w:szCs w:val="20"/>
        </w:rPr>
        <w:t xml:space="preserve">Chrysostom, John. </w:t>
      </w:r>
      <w:r>
        <w:rPr>
          <w:i/>
          <w:iCs/>
          <w:sz w:val="20"/>
          <w:szCs w:val="20"/>
        </w:rPr>
        <w:t xml:space="preserve">On the Priesthood</w:t>
      </w:r>
      <w:r>
        <w:rPr>
          <w:sz w:val="20"/>
          <w:szCs w:val="20"/>
        </w:rPr>
        <w:t xml:space="preserve">. In </w:t>
      </w:r>
      <w:r>
        <w:rPr>
          <w:i/>
          <w:iCs/>
          <w:sz w:val="20"/>
          <w:szCs w:val="20"/>
        </w:rPr>
        <w:t xml:space="preserve">Nicene and Post-Nicene Fathers</w:t>
      </w:r>
      <w:r>
        <w:rPr>
          <w:sz w:val="20"/>
          <w:szCs w:val="20"/>
        </w:rPr>
        <w:t xml:space="preserve">, first series, vol. 9. New York: Christian Literature Company, 1889.</w:t>
      </w:r>
    </w:p>
    <w:p>
      <w:pPr>
        <w:spacing w:after="90" w:line="264"/>
        <w:ind w:left="432" w:hanging="432"/>
      </w:pPr>
      <w:r>
        <w:rPr>
          <w:i/>
          <w:iCs/>
          <w:sz w:val="20"/>
          <w:szCs w:val="20"/>
        </w:rPr>
        <w:t xml:space="preserve">1 Clement</w:t>
      </w:r>
      <w:r>
        <w:rPr>
          <w:sz w:val="20"/>
          <w:szCs w:val="20"/>
        </w:rPr>
        <w:t xml:space="preserve">. In </w:t>
      </w:r>
      <w:r>
        <w:rPr>
          <w:i/>
          <w:iCs/>
          <w:sz w:val="20"/>
          <w:szCs w:val="20"/>
        </w:rPr>
        <w:t xml:space="preserve">Ante-Nicene Fathers</w:t>
      </w:r>
      <w:r>
        <w:rPr>
          <w:sz w:val="20"/>
          <w:szCs w:val="20"/>
        </w:rPr>
        <w:t xml:space="preserve">, vol. 1. Edited by Alexander Roberts and James Donaldson. Buffalo: Christian Literature Publishing, 1885.</w:t>
      </w:r>
    </w:p>
    <w:p>
      <w:pPr>
        <w:spacing w:after="90" w:line="264"/>
        <w:ind w:left="432" w:hanging="432"/>
      </w:pPr>
      <w:r>
        <w:rPr>
          <w:sz w:val="20"/>
          <w:szCs w:val="20"/>
        </w:rPr>
        <w:t xml:space="preserve">Cyprian of Carthage. </w:t>
      </w:r>
      <w:r>
        <w:rPr>
          <w:i/>
          <w:iCs/>
          <w:sz w:val="20"/>
          <w:szCs w:val="20"/>
        </w:rPr>
        <w:t xml:space="preserve">Epistles</w:t>
      </w:r>
      <w:r>
        <w:rPr>
          <w:sz w:val="20"/>
          <w:szCs w:val="20"/>
        </w:rPr>
        <w:t xml:space="preserve">. In </w:t>
      </w:r>
      <w:r>
        <w:rPr>
          <w:i/>
          <w:iCs/>
          <w:sz w:val="20"/>
          <w:szCs w:val="20"/>
        </w:rPr>
        <w:t xml:space="preserve">Ante-Nicene Fathers</w:t>
      </w:r>
      <w:r>
        <w:rPr>
          <w:sz w:val="20"/>
          <w:szCs w:val="20"/>
        </w:rPr>
        <w:t xml:space="preserve">, vol. 5. Buffalo: Christian Literature Publishing, 1886.</w:t>
      </w:r>
    </w:p>
    <w:p>
      <w:pPr>
        <w:spacing w:after="90" w:line="264"/>
        <w:ind w:left="432" w:hanging="432"/>
      </w:pPr>
      <w:r>
        <w:rPr>
          <w:i/>
          <w:iCs/>
          <w:sz w:val="20"/>
          <w:szCs w:val="20"/>
        </w:rPr>
        <w:t xml:space="preserve">Didache</w:t>
      </w:r>
      <w:r>
        <w:rPr>
          <w:sz w:val="20"/>
          <w:szCs w:val="20"/>
        </w:rPr>
        <w:t xml:space="preserve">. In </w:t>
      </w:r>
      <w:r>
        <w:rPr>
          <w:i/>
          <w:iCs/>
          <w:sz w:val="20"/>
          <w:szCs w:val="20"/>
        </w:rPr>
        <w:t xml:space="preserve">Ante-Nicene Fathers</w:t>
      </w:r>
      <w:r>
        <w:rPr>
          <w:sz w:val="20"/>
          <w:szCs w:val="20"/>
        </w:rPr>
        <w:t xml:space="preserve">, vol. 7. Buffalo: Christian Literature Publishing, 1886.</w:t>
      </w:r>
    </w:p>
    <w:p>
      <w:pPr>
        <w:spacing w:after="90" w:line="264"/>
        <w:ind w:left="432" w:hanging="432"/>
      </w:pPr>
      <w:r>
        <w:rPr>
          <w:sz w:val="20"/>
          <w:szCs w:val="20"/>
        </w:rPr>
        <w:t xml:space="preserve">Eusebius of Caesarea. </w:t>
      </w:r>
      <w:r>
        <w:rPr>
          <w:i/>
          <w:iCs/>
          <w:sz w:val="20"/>
          <w:szCs w:val="20"/>
        </w:rPr>
        <w:t xml:space="preserve">Ecclesiastical History</w:t>
      </w:r>
      <w:r>
        <w:rPr>
          <w:sz w:val="20"/>
          <w:szCs w:val="20"/>
        </w:rPr>
        <w:t xml:space="preserve">; </w:t>
      </w:r>
      <w:r>
        <w:rPr>
          <w:i/>
          <w:iCs/>
          <w:sz w:val="20"/>
          <w:szCs w:val="20"/>
        </w:rPr>
        <w:t xml:space="preserve">Life of Constantine</w:t>
      </w:r>
      <w:r>
        <w:rPr>
          <w:sz w:val="20"/>
          <w:szCs w:val="20"/>
        </w:rPr>
        <w:t xml:space="preserve">. In </w:t>
      </w:r>
      <w:r>
        <w:rPr>
          <w:i/>
          <w:iCs/>
          <w:sz w:val="20"/>
          <w:szCs w:val="20"/>
        </w:rPr>
        <w:t xml:space="preserve">Nicene and Post-Nicene Fathers</w:t>
      </w:r>
      <w:r>
        <w:rPr>
          <w:sz w:val="20"/>
          <w:szCs w:val="20"/>
        </w:rPr>
        <w:t xml:space="preserve">, second series, vol. 1. New York: Christian Literature Company, 1890.</w:t>
      </w:r>
    </w:p>
    <w:p>
      <w:pPr>
        <w:spacing w:after="90" w:line="264"/>
        <w:ind w:left="432" w:hanging="432"/>
      </w:pPr>
      <w:r>
        <w:rPr>
          <w:sz w:val="20"/>
          <w:szCs w:val="20"/>
        </w:rPr>
        <w:t xml:space="preserve">Gregory of Nazianzus. </w:t>
      </w:r>
      <w:r>
        <w:rPr>
          <w:i/>
          <w:iCs/>
          <w:sz w:val="20"/>
          <w:szCs w:val="20"/>
        </w:rPr>
        <w:t xml:space="preserve">Orations</w:t>
      </w:r>
      <w:r>
        <w:rPr>
          <w:sz w:val="20"/>
          <w:szCs w:val="20"/>
        </w:rPr>
        <w:t xml:space="preserve"> 2 and 43. In </w:t>
      </w:r>
      <w:r>
        <w:rPr>
          <w:i/>
          <w:iCs/>
          <w:sz w:val="20"/>
          <w:szCs w:val="20"/>
        </w:rPr>
        <w:t xml:space="preserve">Nicene and Post-Nicene Fathers</w:t>
      </w:r>
      <w:r>
        <w:rPr>
          <w:sz w:val="20"/>
          <w:szCs w:val="20"/>
        </w:rPr>
        <w:t xml:space="preserve">, second series, vol. 7. New York: Christian Literature Company, 1894.</w:t>
      </w:r>
    </w:p>
    <w:p>
      <w:pPr>
        <w:spacing w:after="90" w:line="264"/>
        <w:ind w:left="432" w:hanging="432"/>
      </w:pPr>
      <w:r>
        <w:rPr>
          <w:sz w:val="20"/>
          <w:szCs w:val="20"/>
        </w:rPr>
        <w:t xml:space="preserve">Gregory the Great. </w:t>
      </w:r>
      <w:r>
        <w:rPr>
          <w:i/>
          <w:iCs/>
          <w:sz w:val="20"/>
          <w:szCs w:val="20"/>
        </w:rPr>
        <w:t xml:space="preserve">Pastoral Rule</w:t>
      </w:r>
      <w:r>
        <w:rPr>
          <w:sz w:val="20"/>
          <w:szCs w:val="20"/>
        </w:rPr>
        <w:t xml:space="preserve">. In </w:t>
      </w:r>
      <w:r>
        <w:rPr>
          <w:i/>
          <w:iCs/>
          <w:sz w:val="20"/>
          <w:szCs w:val="20"/>
        </w:rPr>
        <w:t xml:space="preserve">Nicene and Post-Nicene Fathers</w:t>
      </w:r>
      <w:r>
        <w:rPr>
          <w:sz w:val="20"/>
          <w:szCs w:val="20"/>
        </w:rPr>
        <w:t xml:space="preserve">, second series, vol. 12. New York: Christian Literature Company, 1895.</w:t>
      </w:r>
    </w:p>
    <w:p>
      <w:pPr>
        <w:spacing w:after="90" w:line="264"/>
        <w:ind w:left="432" w:hanging="432"/>
      </w:pPr>
      <w:r>
        <w:rPr>
          <w:sz w:val="20"/>
          <w:szCs w:val="20"/>
        </w:rPr>
        <w:t xml:space="preserve">Hilary of Poitiers. </w:t>
      </w:r>
      <w:r>
        <w:rPr>
          <w:i/>
          <w:iCs/>
          <w:sz w:val="20"/>
          <w:szCs w:val="20"/>
        </w:rPr>
        <w:t xml:space="preserve">Conflicts of Conscience and Law in the Fourth-Century Church</w:t>
      </w:r>
      <w:r>
        <w:rPr>
          <w:sz w:val="20"/>
          <w:szCs w:val="20"/>
        </w:rPr>
        <w:t xml:space="preserve">. Translated by Lionel R. Wickham. Translated Texts for Historians. Liverpool: Liverpool University Press, 1997.</w:t>
      </w:r>
    </w:p>
    <w:p>
      <w:pPr>
        <w:spacing w:after="90" w:line="264"/>
        <w:ind w:left="432" w:hanging="432"/>
      </w:pPr>
      <w:r>
        <w:rPr>
          <w:sz w:val="20"/>
          <w:szCs w:val="20"/>
        </w:rPr>
        <w:t xml:space="preserve">Jerome. </w:t>
      </w:r>
      <w:r>
        <w:rPr>
          <w:i/>
          <w:iCs/>
          <w:sz w:val="20"/>
          <w:szCs w:val="20"/>
        </w:rPr>
        <w:t xml:space="preserve">Epistles</w:t>
      </w:r>
      <w:r>
        <w:rPr>
          <w:sz w:val="20"/>
          <w:szCs w:val="20"/>
        </w:rPr>
        <w:t xml:space="preserve">; </w:t>
      </w:r>
      <w:r>
        <w:rPr>
          <w:i/>
          <w:iCs/>
          <w:sz w:val="20"/>
          <w:szCs w:val="20"/>
        </w:rPr>
        <w:t xml:space="preserve">Against John of Jerusalem</w:t>
      </w:r>
      <w:r>
        <w:rPr>
          <w:sz w:val="20"/>
          <w:szCs w:val="20"/>
        </w:rPr>
        <w:t xml:space="preserve">. In </w:t>
      </w:r>
      <w:r>
        <w:rPr>
          <w:i/>
          <w:iCs/>
          <w:sz w:val="20"/>
          <w:szCs w:val="20"/>
        </w:rPr>
        <w:t xml:space="preserve">Nicene and Post-Nicene Fathers</w:t>
      </w:r>
      <w:r>
        <w:rPr>
          <w:sz w:val="20"/>
          <w:szCs w:val="20"/>
        </w:rPr>
        <w:t xml:space="preserve">, second series, vol. 6. New York: Christian Literature Company, 1893.</w:t>
      </w:r>
    </w:p>
    <w:p>
      <w:pPr>
        <w:spacing w:after="90" w:line="264"/>
        <w:ind w:left="432" w:hanging="432"/>
      </w:pPr>
      <w:r>
        <w:rPr>
          <w:sz w:val="20"/>
          <w:szCs w:val="20"/>
        </w:rPr>
        <w:t xml:space="preserve">Josephus, Flavius. </w:t>
      </w:r>
      <w:r>
        <w:rPr>
          <w:i/>
          <w:iCs/>
          <w:sz w:val="20"/>
          <w:szCs w:val="20"/>
        </w:rPr>
        <w:t xml:space="preserve">Antiquities of the Jews</w:t>
      </w:r>
      <w:r>
        <w:rPr>
          <w:sz w:val="20"/>
          <w:szCs w:val="20"/>
        </w:rPr>
        <w:t xml:space="preserve">. In </w:t>
      </w:r>
      <w:r>
        <w:rPr>
          <w:i/>
          <w:iCs/>
          <w:sz w:val="20"/>
          <w:szCs w:val="20"/>
        </w:rPr>
        <w:t xml:space="preserve">The Works of Flavius Josephus</w:t>
      </w:r>
      <w:r>
        <w:rPr>
          <w:sz w:val="20"/>
          <w:szCs w:val="20"/>
        </w:rPr>
        <w:t xml:space="preserve">. Translated by William Whiston.</w:t>
      </w:r>
    </w:p>
    <w:p>
      <w:pPr>
        <w:spacing w:after="90" w:line="264"/>
        <w:ind w:left="432" w:hanging="432"/>
      </w:pPr>
      <w:r>
        <w:rPr>
          <w:sz w:val="20"/>
          <w:szCs w:val="20"/>
        </w:rPr>
        <w:t xml:space="preserve">Juvenal. </w:t>
      </w:r>
      <w:r>
        <w:rPr>
          <w:i/>
          <w:iCs/>
          <w:sz w:val="20"/>
          <w:szCs w:val="20"/>
        </w:rPr>
        <w:t xml:space="preserve">Satires</w:t>
      </w:r>
      <w:r>
        <w:rPr>
          <w:sz w:val="20"/>
          <w:szCs w:val="20"/>
        </w:rPr>
        <w:t xml:space="preserve">.</w:t>
      </w:r>
    </w:p>
    <w:p>
      <w:pPr>
        <w:spacing w:after="90" w:line="264"/>
        <w:ind w:left="432" w:hanging="432"/>
      </w:pPr>
      <w:r>
        <w:rPr>
          <w:sz w:val="20"/>
          <w:szCs w:val="20"/>
        </w:rPr>
        <w:t xml:space="preserve">Macrobius. </w:t>
      </w:r>
      <w:r>
        <w:rPr>
          <w:i/>
          <w:iCs/>
          <w:sz w:val="20"/>
          <w:szCs w:val="20"/>
        </w:rPr>
        <w:t xml:space="preserve">Saturnalia</w:t>
      </w:r>
      <w:r>
        <w:rPr>
          <w:sz w:val="20"/>
          <w:szCs w:val="20"/>
        </w:rPr>
        <w:t xml:space="preserve">.</w:t>
      </w:r>
    </w:p>
    <w:p>
      <w:pPr>
        <w:spacing w:after="90" w:line="264"/>
        <w:ind w:left="432" w:hanging="432"/>
      </w:pPr>
      <w:r>
        <w:rPr>
          <w:sz w:val="20"/>
          <w:szCs w:val="20"/>
        </w:rPr>
        <w:t xml:space="preserve">Marcus Aurelius. </w:t>
      </w:r>
      <w:r>
        <w:rPr>
          <w:i/>
          <w:iCs/>
          <w:sz w:val="20"/>
          <w:szCs w:val="20"/>
        </w:rPr>
        <w:t xml:space="preserve">Meditations</w:t>
      </w:r>
      <w:r>
        <w:rPr>
          <w:sz w:val="20"/>
          <w:szCs w:val="20"/>
        </w:rPr>
        <w:t xml:space="preserve">. Translated by George Long. London, 1862.</w:t>
      </w:r>
    </w:p>
    <w:p>
      <w:pPr>
        <w:spacing w:after="90" w:line="264"/>
        <w:ind w:left="432" w:hanging="432"/>
      </w:pPr>
      <w:r>
        <w:rPr>
          <w:sz w:val="20"/>
          <w:szCs w:val="20"/>
        </w:rPr>
        <w:t xml:space="preserve">Optatus of Milevis. </w:t>
      </w:r>
      <w:r>
        <w:rPr>
          <w:i/>
          <w:iCs/>
          <w:sz w:val="20"/>
          <w:szCs w:val="20"/>
        </w:rPr>
        <w:t xml:space="preserve">Against the Donatists</w:t>
      </w:r>
      <w:r>
        <w:rPr>
          <w:sz w:val="20"/>
          <w:szCs w:val="20"/>
        </w:rPr>
        <w:t xml:space="preserve">. Translated by Mark Edwards. Translated Texts for Historians. Liverpool: Liverpool University Press, 1997.</w:t>
      </w:r>
    </w:p>
    <w:p>
      <w:pPr>
        <w:spacing w:after="90" w:line="264"/>
        <w:ind w:left="432" w:hanging="432"/>
      </w:pPr>
      <w:r>
        <w:rPr>
          <w:sz w:val="20"/>
          <w:szCs w:val="20"/>
        </w:rPr>
        <w:t xml:space="preserve">Polycarp of Smyrna. </w:t>
      </w:r>
      <w:r>
        <w:rPr>
          <w:i/>
          <w:iCs/>
          <w:sz w:val="20"/>
          <w:szCs w:val="20"/>
        </w:rPr>
        <w:t xml:space="preserve">Epistle to the Philippians</w:t>
      </w:r>
      <w:r>
        <w:rPr>
          <w:sz w:val="20"/>
          <w:szCs w:val="20"/>
        </w:rPr>
        <w:t xml:space="preserve">. In </w:t>
      </w:r>
      <w:r>
        <w:rPr>
          <w:i/>
          <w:iCs/>
          <w:sz w:val="20"/>
          <w:szCs w:val="20"/>
        </w:rPr>
        <w:t xml:space="preserve">Ante-Nicene Fathers</w:t>
      </w:r>
      <w:r>
        <w:rPr>
          <w:sz w:val="20"/>
          <w:szCs w:val="20"/>
        </w:rPr>
        <w:t xml:space="preserve">, vol. 1.</w:t>
      </w:r>
    </w:p>
    <w:p>
      <w:pPr>
        <w:spacing w:after="90" w:line="264"/>
        <w:ind w:left="432" w:hanging="432"/>
      </w:pPr>
      <w:r>
        <w:rPr>
          <w:sz w:val="20"/>
          <w:szCs w:val="20"/>
        </w:rPr>
        <w:t xml:space="preserve">Seneca. </w:t>
      </w:r>
      <w:r>
        <w:rPr>
          <w:i/>
          <w:iCs/>
          <w:sz w:val="20"/>
          <w:szCs w:val="20"/>
        </w:rPr>
        <w:t xml:space="preserve">Moral Essays</w:t>
      </w:r>
      <w:r>
        <w:rPr>
          <w:sz w:val="20"/>
          <w:szCs w:val="20"/>
        </w:rPr>
        <w:t xml:space="preserve">. Translated by John W. Basore. Vol. 1. Loeb Classical Library. Cambridge, MA: Harvard University Press, 1928.</w:t>
      </w:r>
    </w:p>
    <w:p>
      <w:pPr>
        <w:spacing w:after="90" w:line="264"/>
        <w:ind w:left="432" w:hanging="432"/>
      </w:pPr>
      <w:r>
        <w:rPr>
          <w:sz w:val="20"/>
          <w:szCs w:val="20"/>
        </w:rPr>
        <w:t xml:space="preserve">Suetonius. </w:t>
      </w:r>
      <w:r>
        <w:rPr>
          <w:i/>
          <w:iCs/>
          <w:sz w:val="20"/>
          <w:szCs w:val="20"/>
        </w:rPr>
        <w:t xml:space="preserve">Lives of the Caesars</w:t>
      </w:r>
      <w:r>
        <w:rPr>
          <w:sz w:val="20"/>
          <w:szCs w:val="20"/>
        </w:rPr>
        <w:t xml:space="preserve">.</w:t>
      </w:r>
    </w:p>
    <w:p>
      <w:pPr>
        <w:spacing w:after="90" w:line="264"/>
        <w:ind w:left="432" w:hanging="432"/>
      </w:pPr>
      <w:r>
        <w:rPr>
          <w:sz w:val="20"/>
          <w:szCs w:val="20"/>
        </w:rPr>
        <w:t xml:space="preserve">Tacitus. </w:t>
      </w:r>
      <w:r>
        <w:rPr>
          <w:i/>
          <w:iCs/>
          <w:sz w:val="20"/>
          <w:szCs w:val="20"/>
        </w:rPr>
        <w:t xml:space="preserve">Annals</w:t>
      </w:r>
      <w:r>
        <w:rPr>
          <w:sz w:val="20"/>
          <w:szCs w:val="20"/>
        </w:rPr>
        <w:t xml:space="preserve">; </w:t>
      </w:r>
      <w:r>
        <w:rPr>
          <w:i/>
          <w:iCs/>
          <w:sz w:val="20"/>
          <w:szCs w:val="20"/>
        </w:rPr>
        <w:t xml:space="preserve">Histories</w:t>
      </w:r>
      <w:r>
        <w:rPr>
          <w:sz w:val="20"/>
          <w:szCs w:val="20"/>
        </w:rPr>
        <w:t xml:space="preserve">.</w:t>
      </w:r>
    </w:p>
    <w:p>
      <w:pPr>
        <w:spacing w:after="90" w:line="264"/>
        <w:ind w:left="432" w:hanging="432"/>
      </w:pPr>
      <w:r>
        <w:rPr>
          <w:sz w:val="20"/>
          <w:szCs w:val="20"/>
        </w:rPr>
        <w:t xml:space="preserve">Tertullian. </w:t>
      </w:r>
      <w:r>
        <w:rPr>
          <w:i/>
          <w:iCs/>
          <w:sz w:val="20"/>
          <w:szCs w:val="20"/>
        </w:rPr>
        <w:t xml:space="preserve">Apology</w:t>
      </w:r>
      <w:r>
        <w:rPr>
          <w:sz w:val="20"/>
          <w:szCs w:val="20"/>
        </w:rPr>
        <w:t xml:space="preserve">. In </w:t>
      </w:r>
      <w:r>
        <w:rPr>
          <w:i/>
          <w:iCs/>
          <w:sz w:val="20"/>
          <w:szCs w:val="20"/>
        </w:rPr>
        <w:t xml:space="preserve">Ante-Nicene Fathers</w:t>
      </w:r>
      <w:r>
        <w:rPr>
          <w:sz w:val="20"/>
          <w:szCs w:val="20"/>
        </w:rPr>
        <w:t xml:space="preserve">, vol. 3. Buffalo: Christian Literature Publishing, 1885.</w:t>
      </w:r>
    </w:p>
    <w:p>
      <w:pPr>
        <w:spacing w:after="90" w:line="264"/>
        <w:ind w:left="432" w:hanging="432"/>
      </w:pPr>
      <w:r>
        <w:rPr>
          <w:i/>
          <w:iCs/>
          <w:sz w:val="20"/>
          <w:szCs w:val="20"/>
        </w:rPr>
        <w:t xml:space="preserve">The Theodosian Code and Novels and the Sirmondian Constitutions</w:t>
      </w:r>
      <w:r>
        <w:rPr>
          <w:sz w:val="20"/>
          <w:szCs w:val="20"/>
        </w:rPr>
        <w:t xml:space="preserve">. Translated by Clyde Pharr. Princeton: Princeton University Press, 1952.</w:t>
      </w:r>
    </w:p>
    <w:p>
      <w:pPr>
        <w:spacing w:after="90" w:line="264"/>
        <w:ind w:left="432" w:hanging="432"/>
      </w:pPr>
      <w:r>
        <w:rPr>
          <w:sz w:val="20"/>
          <w:szCs w:val="20"/>
        </w:rPr>
        <w:t xml:space="preserve">Theodoret of Cyrrhus. </w:t>
      </w:r>
      <w:r>
        <w:rPr>
          <w:i/>
          <w:iCs/>
          <w:sz w:val="20"/>
          <w:szCs w:val="20"/>
        </w:rPr>
        <w:t xml:space="preserve">Ecclesiastical History</w:t>
      </w:r>
      <w:r>
        <w:rPr>
          <w:sz w:val="20"/>
          <w:szCs w:val="20"/>
        </w:rPr>
        <w:t xml:space="preserve">. In </w:t>
      </w:r>
      <w:r>
        <w:rPr>
          <w:i/>
          <w:iCs/>
          <w:sz w:val="20"/>
          <w:szCs w:val="20"/>
        </w:rPr>
        <w:t xml:space="preserve">Nicene and Post-Nicene Fathers</w:t>
      </w:r>
      <w:r>
        <w:rPr>
          <w:sz w:val="20"/>
          <w:szCs w:val="20"/>
        </w:rPr>
        <w:t xml:space="preserve">, second series, vol. 3.</w:t>
      </w:r>
    </w:p>
    <w:p>
      <w:pPr>
        <w:pStyle w:val="Heading2"/>
      </w:pPr>
      <w:r>
        <w:t xml:space="preserve">Modern Sources</w:t>
      </w:r>
    </w:p>
    <w:p>
      <w:pPr>
        <w:spacing w:after="90" w:line="264"/>
        <w:ind w:left="432" w:hanging="432"/>
      </w:pPr>
      <w:r>
        <w:rPr>
          <w:sz w:val="20"/>
          <w:szCs w:val="20"/>
        </w:rPr>
        <w:t xml:space="preserve">Achebe, Chinua. </w:t>
      </w:r>
      <w:r>
        <w:rPr>
          <w:i/>
          <w:iCs/>
          <w:sz w:val="20"/>
          <w:szCs w:val="20"/>
        </w:rPr>
        <w:t xml:space="preserve">The Trouble with Nigeria</w:t>
      </w:r>
      <w:r>
        <w:rPr>
          <w:sz w:val="20"/>
          <w:szCs w:val="20"/>
        </w:rPr>
        <w:t xml:space="preserve">. Enugu: Fourth Dimension Publishers, 1983.</w:t>
      </w:r>
    </w:p>
    <w:p>
      <w:pPr>
        <w:spacing w:after="90" w:line="264"/>
        <w:ind w:left="432" w:hanging="432"/>
      </w:pPr>
      <w:r>
        <w:rPr>
          <w:sz w:val="20"/>
          <w:szCs w:val="20"/>
        </w:rPr>
        <w:t xml:space="preserve">Acton, John Emerich Edward Dalberg. </w:t>
      </w:r>
      <w:r>
        <w:rPr>
          <w:i/>
          <w:iCs/>
          <w:sz w:val="20"/>
          <w:szCs w:val="20"/>
        </w:rPr>
        <w:t xml:space="preserve">Historical Essays and Studies</w:t>
      </w:r>
      <w:r>
        <w:rPr>
          <w:sz w:val="20"/>
          <w:szCs w:val="20"/>
        </w:rPr>
        <w:t xml:space="preserve">. Edited by John Neville Figgis and Reginald Vere Laurence. London: Macmillan, 1907.</w:t>
      </w:r>
    </w:p>
    <w:p>
      <w:pPr>
        <w:spacing w:after="90" w:line="264"/>
        <w:ind w:left="432" w:hanging="432"/>
      </w:pPr>
      <w:r>
        <w:rPr>
          <w:sz w:val="20"/>
          <w:szCs w:val="20"/>
        </w:rPr>
        <w:t xml:space="preserve">Adeyemo, Tokunboh, ed. </w:t>
      </w:r>
      <w:r>
        <w:rPr>
          <w:i/>
          <w:iCs/>
          <w:sz w:val="20"/>
          <w:szCs w:val="20"/>
        </w:rPr>
        <w:t xml:space="preserve">Africa Bible Commentary</w:t>
      </w:r>
      <w:r>
        <w:rPr>
          <w:sz w:val="20"/>
          <w:szCs w:val="20"/>
        </w:rPr>
        <w:t xml:space="preserve">. Nairobi: WordAlive Publishers; Grand Rapids: Zondervan, 2006.</w:t>
      </w:r>
    </w:p>
    <w:p>
      <w:pPr>
        <w:spacing w:after="90" w:line="264"/>
        <w:ind w:left="432" w:hanging="432"/>
      </w:pPr>
      <w:r>
        <w:rPr>
          <w:sz w:val="20"/>
          <w:szCs w:val="20"/>
        </w:rPr>
        <w:t xml:space="preserve">Bakker, Jim, with Ken Abraham. </w:t>
      </w:r>
      <w:r>
        <w:rPr>
          <w:i/>
          <w:iCs/>
          <w:sz w:val="20"/>
          <w:szCs w:val="20"/>
        </w:rPr>
        <w:t xml:space="preserve">I Was Wrong</w:t>
      </w:r>
      <w:r>
        <w:rPr>
          <w:sz w:val="20"/>
          <w:szCs w:val="20"/>
        </w:rPr>
        <w:t xml:space="preserve">. Nashville: Thomas Nelson, 1996.</w:t>
      </w:r>
    </w:p>
    <w:p>
      <w:pPr>
        <w:spacing w:after="90" w:line="264"/>
        <w:ind w:left="432" w:hanging="432"/>
      </w:pPr>
      <w:r>
        <w:rPr>
          <w:sz w:val="20"/>
          <w:szCs w:val="20"/>
        </w:rPr>
        <w:t xml:space="preserve">Balmer, Randall. </w:t>
      </w:r>
      <w:r>
        <w:rPr>
          <w:i/>
          <w:iCs/>
          <w:sz w:val="20"/>
          <w:szCs w:val="20"/>
        </w:rPr>
        <w:t xml:space="preserve">Mine Eyes Have Seen the Glory: A Journey into the Evangelical Subculture in America</w:t>
      </w:r>
      <w:r>
        <w:rPr>
          <w:sz w:val="20"/>
          <w:szCs w:val="20"/>
        </w:rPr>
        <w:t xml:space="preserve">. 5th ed. New York: Oxford University Press, 2014.</w:t>
      </w:r>
    </w:p>
    <w:p>
      <w:pPr>
        <w:spacing w:after="90" w:line="264"/>
        <w:ind w:left="432" w:hanging="432"/>
      </w:pPr>
      <w:r>
        <w:rPr>
          <w:sz w:val="20"/>
          <w:szCs w:val="20"/>
        </w:rPr>
        <w:t xml:space="preserve">Barna Group. “Pastors Share Top Reasons They’ve Considered Quitting Ministry in the Past Year.” </w:t>
      </w:r>
      <w:r>
        <w:rPr>
          <w:i/>
          <w:iCs/>
          <w:sz w:val="20"/>
          <w:szCs w:val="20"/>
        </w:rPr>
        <w:t xml:space="preserve">Barna</w:t>
      </w:r>
      <w:r>
        <w:rPr>
          <w:sz w:val="20"/>
          <w:szCs w:val="20"/>
        </w:rPr>
        <w:t xml:space="preserve">, 27 April 2022.</w:t>
      </w:r>
    </w:p>
    <w:p>
      <w:pPr>
        <w:spacing w:after="90" w:line="264"/>
        <w:ind w:left="432" w:hanging="432"/>
      </w:pPr>
      <w:r>
        <w:rPr>
          <w:sz w:val="20"/>
          <w:szCs w:val="20"/>
        </w:rPr>
        <w:t xml:space="preserve">Bethge, Eberhard. </w:t>
      </w:r>
      <w:r>
        <w:rPr>
          <w:i/>
          <w:iCs/>
          <w:sz w:val="20"/>
          <w:szCs w:val="20"/>
        </w:rPr>
        <w:t xml:space="preserve">Dietrich Bonhoeffer: A Biography</w:t>
      </w:r>
      <w:r>
        <w:rPr>
          <w:sz w:val="20"/>
          <w:szCs w:val="20"/>
        </w:rPr>
        <w:t xml:space="preserve">. Rev. ed. Minneapolis: Fortress Press, 2000.</w:t>
      </w:r>
    </w:p>
    <w:p>
      <w:pPr>
        <w:spacing w:after="90" w:line="264"/>
        <w:ind w:left="432" w:hanging="432"/>
      </w:pPr>
      <w:r>
        <w:rPr>
          <w:sz w:val="20"/>
          <w:szCs w:val="20"/>
        </w:rPr>
        <w:t xml:space="preserve">Clinton, J. Robert. </w:t>
      </w:r>
      <w:r>
        <w:rPr>
          <w:i/>
          <w:iCs/>
          <w:sz w:val="20"/>
          <w:szCs w:val="20"/>
        </w:rPr>
        <w:t xml:space="preserve">The Making of a Leader: Recognizing the Lessons and Stages of Leadership Development</w:t>
      </w:r>
      <w:r>
        <w:rPr>
          <w:sz w:val="20"/>
          <w:szCs w:val="20"/>
        </w:rPr>
        <w:t xml:space="preserve">. 2nd ed. Colorado Springs: NavPress, 2012.</w:t>
      </w:r>
    </w:p>
    <w:p>
      <w:pPr>
        <w:spacing w:after="90" w:line="264"/>
        <w:ind w:left="432" w:hanging="432"/>
      </w:pPr>
      <w:r>
        <w:rPr>
          <w:sz w:val="20"/>
          <w:szCs w:val="20"/>
        </w:rPr>
        <w:t xml:space="preserve">Collins, Jim. </w:t>
      </w:r>
      <w:r>
        <w:rPr>
          <w:i/>
          <w:iCs/>
          <w:sz w:val="20"/>
          <w:szCs w:val="20"/>
        </w:rPr>
        <w:t xml:space="preserve">How the Mighty Fall: And Why Some Companies Never Give In</w:t>
      </w:r>
      <w:r>
        <w:rPr>
          <w:sz w:val="20"/>
          <w:szCs w:val="20"/>
        </w:rPr>
        <w:t xml:space="preserve">. New York: HarperCollins, 2009.</w:t>
      </w:r>
    </w:p>
    <w:p>
      <w:pPr>
        <w:spacing w:after="90" w:line="264"/>
        <w:ind w:left="432" w:hanging="432"/>
      </w:pPr>
      <w:r>
        <w:rPr>
          <w:sz w:val="20"/>
          <w:szCs w:val="20"/>
        </w:rPr>
        <w:t xml:space="preserve">Cosper, Mike. </w:t>
      </w:r>
      <w:r>
        <w:rPr>
          <w:i/>
          <w:iCs/>
          <w:sz w:val="20"/>
          <w:szCs w:val="20"/>
        </w:rPr>
        <w:t xml:space="preserve">The Rise and Fall of Mars Hill</w:t>
      </w:r>
      <w:r>
        <w:rPr>
          <w:sz w:val="20"/>
          <w:szCs w:val="20"/>
        </w:rPr>
        <w:t xml:space="preserve">. Podcast. </w:t>
      </w:r>
      <w:r>
        <w:rPr>
          <w:i/>
          <w:iCs/>
          <w:sz w:val="20"/>
          <w:szCs w:val="20"/>
        </w:rPr>
        <w:t xml:space="preserve">Christianity Today</w:t>
      </w:r>
      <w:r>
        <w:rPr>
          <w:sz w:val="20"/>
          <w:szCs w:val="20"/>
        </w:rPr>
        <w:t xml:space="preserve">, 2021.</w:t>
      </w:r>
    </w:p>
    <w:p>
      <w:pPr>
        <w:spacing w:after="90" w:line="264"/>
        <w:ind w:left="432" w:hanging="432"/>
      </w:pPr>
      <w:r>
        <w:rPr>
          <w:sz w:val="20"/>
          <w:szCs w:val="20"/>
        </w:rPr>
        <w:t xml:space="preserve">Dudley-Smith, Timothy. </w:t>
      </w:r>
      <w:r>
        <w:rPr>
          <w:i/>
          <w:iCs/>
          <w:sz w:val="20"/>
          <w:szCs w:val="20"/>
        </w:rPr>
        <w:t xml:space="preserve">John Stott: A Global Ministry</w:t>
      </w:r>
      <w:r>
        <w:rPr>
          <w:sz w:val="20"/>
          <w:szCs w:val="20"/>
        </w:rPr>
        <w:t xml:space="preserve">. Downers Grove, IL: InterVarsity Press, 2001.</w:t>
      </w:r>
    </w:p>
    <w:p>
      <w:pPr>
        <w:spacing w:after="90" w:line="264"/>
        <w:ind w:left="432" w:hanging="432"/>
      </w:pPr>
      <w:r>
        <w:rPr>
          <w:sz w:val="20"/>
          <w:szCs w:val="20"/>
        </w:rPr>
        <w:t xml:space="preserve">Foster, Richard J. </w:t>
      </w:r>
      <w:r>
        <w:rPr>
          <w:i/>
          <w:iCs/>
          <w:sz w:val="20"/>
          <w:szCs w:val="20"/>
        </w:rPr>
        <w:t xml:space="preserve">Money, Sex and Power: The Challenge of the Disciplined Life</w:t>
      </w:r>
      <w:r>
        <w:rPr>
          <w:sz w:val="20"/>
          <w:szCs w:val="20"/>
        </w:rPr>
        <w:t xml:space="preserve">. San Francisco: Harper &amp; Row, 1985.</w:t>
      </w:r>
    </w:p>
    <w:p>
      <w:pPr>
        <w:spacing w:after="90" w:line="264"/>
        <w:ind w:left="432" w:hanging="432"/>
      </w:pPr>
      <w:r>
        <w:rPr>
          <w:sz w:val="20"/>
          <w:szCs w:val="20"/>
        </w:rPr>
        <w:t xml:space="preserve">Gifford, Paul. </w:t>
      </w:r>
      <w:r>
        <w:rPr>
          <w:i/>
          <w:iCs/>
          <w:sz w:val="20"/>
          <w:szCs w:val="20"/>
        </w:rPr>
        <w:t xml:space="preserve">Ghana’s New Christianity: Pentecostalism in a Globalising African Economy</w:t>
      </w:r>
      <w:r>
        <w:rPr>
          <w:sz w:val="20"/>
          <w:szCs w:val="20"/>
        </w:rPr>
        <w:t xml:space="preserve">. Bloomington: Indiana University Press, 2004.</w:t>
      </w:r>
    </w:p>
    <w:p>
      <w:pPr>
        <w:spacing w:after="90" w:line="264"/>
        <w:ind w:left="432" w:hanging="432"/>
      </w:pPr>
      <w:r>
        <w:rPr>
          <w:sz w:val="20"/>
          <w:szCs w:val="20"/>
        </w:rPr>
        <w:t xml:space="preserve">Graham, Billy. </w:t>
      </w:r>
      <w:r>
        <w:rPr>
          <w:i/>
          <w:iCs/>
          <w:sz w:val="20"/>
          <w:szCs w:val="20"/>
        </w:rPr>
        <w:t xml:space="preserve">Just As I Am: The Autobiography of Billy Graham</w:t>
      </w:r>
      <w:r>
        <w:rPr>
          <w:sz w:val="20"/>
          <w:szCs w:val="20"/>
        </w:rPr>
        <w:t xml:space="preserve">. San Francisco: HarperSanFrancisco; Grand Rapids: Zondervan, 1997.</w:t>
      </w:r>
    </w:p>
    <w:p>
      <w:pPr>
        <w:spacing w:after="90" w:line="264"/>
        <w:ind w:left="432" w:hanging="432"/>
      </w:pPr>
      <w:r>
        <w:rPr>
          <w:sz w:val="20"/>
          <w:szCs w:val="20"/>
        </w:rPr>
        <w:t xml:space="preserve">Kalu, Ogbu U. </w:t>
      </w:r>
      <w:r>
        <w:rPr>
          <w:i/>
          <w:iCs/>
          <w:sz w:val="20"/>
          <w:szCs w:val="20"/>
        </w:rPr>
        <w:t xml:space="preserve">African Pentecostalism: An Introduction</w:t>
      </w:r>
      <w:r>
        <w:rPr>
          <w:sz w:val="20"/>
          <w:szCs w:val="20"/>
        </w:rPr>
        <w:t xml:space="preserve">. Oxford: Oxford University Press, 2008.</w:t>
      </w:r>
    </w:p>
    <w:p>
      <w:pPr>
        <w:spacing w:after="90" w:line="264"/>
        <w:ind w:left="432" w:hanging="432"/>
      </w:pPr>
      <w:r>
        <w:rPr>
          <w:sz w:val="20"/>
          <w:szCs w:val="20"/>
        </w:rPr>
        <w:t xml:space="preserve">Kittel, Gerhard, ed. </w:t>
      </w:r>
      <w:r>
        <w:rPr>
          <w:i/>
          <w:iCs/>
          <w:sz w:val="20"/>
          <w:szCs w:val="20"/>
        </w:rPr>
        <w:t xml:space="preserve">Theological Dictionary of the New Testament</w:t>
      </w:r>
      <w:r>
        <w:rPr>
          <w:sz w:val="20"/>
          <w:szCs w:val="20"/>
        </w:rPr>
        <w:t xml:space="preserve">. Translated by Geoffrey W. Bromiley. 10 vols. Grand Rapids: Eerdmans, 1964–1976.</w:t>
      </w:r>
    </w:p>
    <w:p>
      <w:pPr>
        <w:spacing w:after="90" w:line="264"/>
        <w:ind w:left="432" w:hanging="432"/>
      </w:pPr>
      <w:r>
        <w:rPr>
          <w:sz w:val="20"/>
          <w:szCs w:val="20"/>
        </w:rPr>
        <w:t xml:space="preserve">Langberg, Diane. </w:t>
      </w:r>
      <w:r>
        <w:rPr>
          <w:i/>
          <w:iCs/>
          <w:sz w:val="20"/>
          <w:szCs w:val="20"/>
        </w:rPr>
        <w:t xml:space="preserve">Redeeming Power: Understanding Authority and Abuse in the Church</w:t>
      </w:r>
      <w:r>
        <w:rPr>
          <w:sz w:val="20"/>
          <w:szCs w:val="20"/>
        </w:rPr>
        <w:t xml:space="preserve">. Grand Rapids: Brazos Press, 2020.</w:t>
      </w:r>
    </w:p>
    <w:p>
      <w:pPr>
        <w:spacing w:after="90" w:line="264"/>
        <w:ind w:left="432" w:hanging="432"/>
      </w:pPr>
      <w:r>
        <w:rPr>
          <w:sz w:val="20"/>
          <w:szCs w:val="20"/>
        </w:rPr>
        <w:t xml:space="preserve">MacDonald, Gordon. </w:t>
      </w:r>
      <w:r>
        <w:rPr>
          <w:i/>
          <w:iCs/>
          <w:sz w:val="20"/>
          <w:szCs w:val="20"/>
        </w:rPr>
        <w:t xml:space="preserve">Rebuilding Your Broken World</w:t>
      </w:r>
      <w:r>
        <w:rPr>
          <w:sz w:val="20"/>
          <w:szCs w:val="20"/>
        </w:rPr>
        <w:t xml:space="preserve">. Nashville: Thomas Nelson, 1988.</w:t>
      </w:r>
    </w:p>
    <w:p>
      <w:pPr>
        <w:spacing w:after="90" w:line="264"/>
        <w:ind w:left="432" w:hanging="432"/>
      </w:pPr>
      <w:r>
        <w:rPr>
          <w:sz w:val="20"/>
          <w:szCs w:val="20"/>
        </w:rPr>
        <w:t xml:space="preserve">McKnight, Scot, and Laura Barringer. </w:t>
      </w:r>
      <w:r>
        <w:rPr>
          <w:i/>
          <w:iCs/>
          <w:sz w:val="20"/>
          <w:szCs w:val="20"/>
        </w:rPr>
        <w:t xml:space="preserve">A Church Called Tov: Forming a Goodness Culture That Resists Abuses of Power and Promotes Healing</w:t>
      </w:r>
      <w:r>
        <w:rPr>
          <w:sz w:val="20"/>
          <w:szCs w:val="20"/>
        </w:rPr>
        <w:t xml:space="preserve">. Carol Stream, IL: Tyndale Momentum, 2020.</w:t>
      </w:r>
    </w:p>
    <w:p>
      <w:pPr>
        <w:spacing w:after="90" w:line="264"/>
        <w:ind w:left="432" w:hanging="432"/>
      </w:pPr>
      <w:r>
        <w:rPr>
          <w:sz w:val="20"/>
          <w:szCs w:val="20"/>
        </w:rPr>
        <w:t xml:space="preserve">Miller &amp; Martens PLLC. </w:t>
      </w:r>
      <w:r>
        <w:rPr>
          <w:i/>
          <w:iCs/>
          <w:sz w:val="20"/>
          <w:szCs w:val="20"/>
        </w:rPr>
        <w:t xml:space="preserve">Report of Independent Investigation into Sexual Misconduct of Ravi Zacharias</w:t>
      </w:r>
      <w:r>
        <w:rPr>
          <w:sz w:val="20"/>
          <w:szCs w:val="20"/>
        </w:rPr>
        <w:t xml:space="preserve">. February 2021.</w:t>
      </w:r>
    </w:p>
    <w:p>
      <w:pPr>
        <w:spacing w:after="90" w:line="264"/>
        <w:ind w:left="432" w:hanging="432"/>
      </w:pPr>
      <w:r>
        <w:rPr>
          <w:sz w:val="20"/>
          <w:szCs w:val="20"/>
        </w:rPr>
        <w:t xml:space="preserve">Nigeria. Companies and Allied Matters Act 2020.</w:t>
      </w:r>
    </w:p>
    <w:p>
      <w:pPr>
        <w:spacing w:after="90" w:line="264"/>
        <w:ind w:left="432" w:hanging="432"/>
      </w:pPr>
      <w:r>
        <w:rPr>
          <w:sz w:val="20"/>
          <w:szCs w:val="20"/>
        </w:rPr>
        <w:t xml:space="preserve">Nouwen, Henri J. M. </w:t>
      </w:r>
      <w:r>
        <w:rPr>
          <w:i/>
          <w:iCs/>
          <w:sz w:val="20"/>
          <w:szCs w:val="20"/>
        </w:rPr>
        <w:t xml:space="preserve">In the Name of Jesus: Reflections on Christian Leadership</w:t>
      </w:r>
      <w:r>
        <w:rPr>
          <w:sz w:val="20"/>
          <w:szCs w:val="20"/>
        </w:rPr>
        <w:t xml:space="preserve">. New York: Crossroad, 1989.</w:t>
      </w:r>
    </w:p>
    <w:p>
      <w:pPr>
        <w:spacing w:after="90" w:line="264"/>
        <w:ind w:left="432" w:hanging="432"/>
      </w:pPr>
      <w:r>
        <w:rPr>
          <w:sz w:val="20"/>
          <w:szCs w:val="20"/>
        </w:rPr>
        <w:t xml:space="preserve">Peterson, Eugene H. </w:t>
      </w:r>
      <w:r>
        <w:rPr>
          <w:i/>
          <w:iCs/>
          <w:sz w:val="20"/>
          <w:szCs w:val="20"/>
        </w:rPr>
        <w:t xml:space="preserve">Working the Angles: The Shape of Pastoral Integrity</w:t>
      </w:r>
      <w:r>
        <w:rPr>
          <w:sz w:val="20"/>
          <w:szCs w:val="20"/>
        </w:rPr>
        <w:t xml:space="preserve">. Grand Rapids: Eerdmans, 1987.</w:t>
      </w:r>
    </w:p>
    <w:p>
      <w:pPr>
        <w:spacing w:after="90" w:line="264"/>
        <w:ind w:left="432" w:hanging="432"/>
      </w:pPr>
      <w:r>
        <w:rPr>
          <w:sz w:val="20"/>
          <w:szCs w:val="20"/>
        </w:rPr>
        <w:t xml:space="preserve">Saller, Richard P. </w:t>
      </w:r>
      <w:r>
        <w:rPr>
          <w:i/>
          <w:iCs/>
          <w:sz w:val="20"/>
          <w:szCs w:val="20"/>
        </w:rPr>
        <w:t xml:space="preserve">Personal Patronage under the Early Empire</w:t>
      </w:r>
      <w:r>
        <w:rPr>
          <w:sz w:val="20"/>
          <w:szCs w:val="20"/>
        </w:rPr>
        <w:t xml:space="preserve">. Cambridge: Cambridge University Press, 1982.</w:t>
      </w:r>
    </w:p>
    <w:p>
      <w:pPr>
        <w:spacing w:after="90" w:line="264"/>
        <w:ind w:left="432" w:hanging="432"/>
      </w:pPr>
      <w:r>
        <w:rPr>
          <w:sz w:val="20"/>
          <w:szCs w:val="20"/>
        </w:rPr>
        <w:t xml:space="preserve">Sanders, J. Oswald. </w:t>
      </w:r>
      <w:r>
        <w:rPr>
          <w:i/>
          <w:iCs/>
          <w:sz w:val="20"/>
          <w:szCs w:val="20"/>
        </w:rPr>
        <w:t xml:space="preserve">Spiritual Leadership</w:t>
      </w:r>
      <w:r>
        <w:rPr>
          <w:sz w:val="20"/>
          <w:szCs w:val="20"/>
        </w:rPr>
        <w:t xml:space="preserve">. Chicago: Moody Press, 1967.</w:t>
      </w:r>
    </w:p>
    <w:p>
      <w:pPr>
        <w:spacing w:after="90" w:line="264"/>
        <w:ind w:left="432" w:hanging="432"/>
      </w:pPr>
      <w:r>
        <w:rPr>
          <w:sz w:val="20"/>
          <w:szCs w:val="20"/>
        </w:rPr>
        <w:t xml:space="preserve">Spurgeon, C. H. </w:t>
      </w:r>
      <w:r>
        <w:rPr>
          <w:i/>
          <w:iCs/>
          <w:sz w:val="20"/>
          <w:szCs w:val="20"/>
        </w:rPr>
        <w:t xml:space="preserve">Lectures to My Students</w:t>
      </w:r>
      <w:r>
        <w:rPr>
          <w:sz w:val="20"/>
          <w:szCs w:val="20"/>
        </w:rPr>
        <w:t xml:space="preserve">. First series. London: Passmore and Alabaster, 1875.</w:t>
      </w:r>
    </w:p>
    <w:p>
      <w:pPr>
        <w:spacing w:after="90" w:line="264"/>
        <w:ind w:left="432" w:hanging="432"/>
      </w:pPr>
      <w:r>
        <w:rPr>
          <w:sz w:val="20"/>
          <w:szCs w:val="20"/>
        </w:rPr>
        <w:t xml:space="preserve">Ukah, Asonzeh. </w:t>
      </w:r>
      <w:r>
        <w:rPr>
          <w:i/>
          <w:iCs/>
          <w:sz w:val="20"/>
          <w:szCs w:val="20"/>
        </w:rPr>
        <w:t xml:space="preserve">A New Paradigm of Pentecostal Power: A Study of the Redeemed Christian Church of God in Nigeria</w:t>
      </w:r>
      <w:r>
        <w:rPr>
          <w:sz w:val="20"/>
          <w:szCs w:val="20"/>
        </w:rPr>
        <w:t xml:space="preserve">. Trenton, NJ: Africa World Press, 2008.</w:t>
      </w:r>
    </w:p>
    <w:p>
      <w:pPr>
        <w:spacing w:after="90" w:line="264"/>
        <w:ind w:left="432" w:hanging="432"/>
      </w:pPr>
      <w:r>
        <w:rPr>
          <w:sz w:val="20"/>
          <w:szCs w:val="20"/>
        </w:rPr>
        <w:t xml:space="preserve">Willow Creek Independent Advisory Group. </w:t>
      </w:r>
      <w:r>
        <w:rPr>
          <w:i/>
          <w:iCs/>
          <w:sz w:val="20"/>
          <w:szCs w:val="20"/>
        </w:rPr>
        <w:t xml:space="preserve">Report of the Independent Advisory Group</w:t>
      </w:r>
      <w:r>
        <w:rPr>
          <w:sz w:val="20"/>
          <w:szCs w:val="20"/>
        </w:rPr>
        <w:t xml:space="preserve">. February 2019.</w:t>
      </w:r>
    </w:p>
    <w:p>
      <w:pPr>
        <w:sectPr>
          <w:headerReference w:type="default" r:id="rId127"/>
          <w:headerReference w:type="first" r:id="rId128"/>
          <w:footerReference w:type="default" r:id="rId129"/>
          <w:footerReference w:type="first" r:id="rId130"/>
          <w:type w:val="nextPage"/>
          <w:pgSz w:w="8640" w:h="12960" w:orient="portrait"/>
          <w:pgMar w:top="1080" w:right="936" w:bottom="1008" w:left="1008" w:header="560" w:footer="520" w:gutter="0"/>
          <w:pgNumType w:fmt="decimal"/>
          <w:titlePg/>
          <w:docGrid w:linePitch="360"/>
        </w:sectPr>
      </w:pPr>
    </w:p>
    <w:p>
      <w:pPr>
        <w:spacing w:after="160" w:before="1300"/>
        <w:jc w:val="center"/>
      </w:pPr>
      <w:r>
        <w:rPr>
          <w:b/>
          <w:bCs/>
          <w:color w:val="A67C1A"/>
          <w:spacing w:val="60"/>
          <w:sz w:val="20"/>
          <w:szCs w:val="20"/>
        </w:rPr>
        <w:t xml:space="preserve">FURTHER READING</w:t>
      </w:r>
    </w:p>
    <w:p>
      <w:pPr>
        <w:pStyle w:val="Heading1"/>
      </w:pPr>
      <w:bookmarkStart w:id="1100" w:name="toc_rec"/>
      <w:r>
        <w:t xml:space="preserve">Recommended Books</w:t>
      </w:r>
      <w:bookmarkEnd w:id="1100"/>
    </w:p>
    <w:p>
      <w:pPr>
        <w:pBdr>
          <w:bottom w:val="single" w:color="A67C1A" w:sz="8" w:space="1"/>
        </w:pBdr>
        <w:spacing w:after="240" w:before="120"/>
        <w:ind w:left="2448" w:right="2448"/>
        <w:jc w:val="center"/>
      </w:pPr>
    </w:p>
    <w:p>
      <w:pPr>
        <w:pStyle w:val="BodyFirst"/>
      </w:pPr>
      <w:r>
        <w:t xml:space="preserve">The following books are recommended for readers who wish to pursue the themes of this study further. They are distinct from the works cited in the endnotes and select bibliography, and are arranged by theme. A brief note on each indicates why it is worth reading. Inclusion does not imply agreement with every position taken by the authors.</w:t>
      </w:r>
    </w:p>
    <w:p>
      <w:pPr>
        <w:pStyle w:val="Heading2"/>
      </w:pPr>
      <w:r>
        <w:t xml:space="preserve">Classics of Pastoral Wisdom</w:t>
      </w:r>
    </w:p>
    <w:p>
      <w:pPr>
        <w:keepNext/>
        <w:spacing w:after="30" w:line="264"/>
        <w:ind w:left="432" w:hanging="432"/>
      </w:pPr>
      <w:r>
        <w:rPr>
          <w:sz w:val="20"/>
          <w:szCs w:val="20"/>
        </w:rPr>
        <w:t xml:space="preserve">Baxter, Richard. </w:t>
      </w:r>
      <w:r>
        <w:rPr>
          <w:i/>
          <w:iCs/>
          <w:sz w:val="20"/>
          <w:szCs w:val="20"/>
        </w:rPr>
        <w:t xml:space="preserve">The Reformed Pastor</w:t>
      </w:r>
      <w:r>
        <w:rPr>
          <w:sz w:val="20"/>
          <w:szCs w:val="20"/>
        </w:rPr>
        <w:t xml:space="preserve">. Edited by William Brown. Edinburgh: Banner of Truth Trust, 1974. First published 1656.</w:t>
      </w:r>
    </w:p>
    <w:p>
      <w:pPr>
        <w:spacing w:after="140" w:line="252"/>
        <w:ind w:left="432"/>
      </w:pPr>
      <w:r>
        <w:rPr>
          <w:i/>
          <w:iCs/>
          <w:color w:val="555555"/>
          <w:sz w:val="19"/>
          <w:szCs w:val="19"/>
        </w:rPr>
        <w:t xml:space="preserve">A searching Puritan call for ministers to take heed to themselves before they take heed to the flock.</w:t>
      </w:r>
    </w:p>
    <w:p>
      <w:pPr>
        <w:keepNext/>
        <w:spacing w:after="30" w:line="264"/>
        <w:ind w:left="432" w:hanging="432"/>
      </w:pPr>
      <w:r>
        <w:rPr>
          <w:sz w:val="20"/>
          <w:szCs w:val="20"/>
        </w:rPr>
        <w:t xml:space="preserve">Bridges, Charles. </w:t>
      </w:r>
      <w:r>
        <w:rPr>
          <w:i/>
          <w:iCs/>
          <w:sz w:val="20"/>
          <w:szCs w:val="20"/>
        </w:rPr>
        <w:t xml:space="preserve">The Christian Ministry: With an Inquiry into the Causes of Its Inefficiency</w:t>
      </w:r>
      <w:r>
        <w:rPr>
          <w:sz w:val="20"/>
          <w:szCs w:val="20"/>
        </w:rPr>
        <w:t xml:space="preserve">. London: Banner of Truth Trust, 1967. First published 1830.</w:t>
      </w:r>
    </w:p>
    <w:p>
      <w:pPr>
        <w:spacing w:after="140" w:line="252"/>
        <w:ind w:left="432"/>
      </w:pPr>
      <w:r>
        <w:rPr>
          <w:i/>
          <w:iCs/>
          <w:color w:val="555555"/>
          <w:sz w:val="19"/>
          <w:szCs w:val="19"/>
        </w:rPr>
        <w:t xml:space="preserve">A classic diagnosis of why ministry fails, with a whole section on the personal hindrances in the minister himself.</w:t>
      </w:r>
    </w:p>
    <w:p>
      <w:pPr>
        <w:keepNext/>
        <w:spacing w:after="30" w:line="264"/>
        <w:ind w:left="432" w:hanging="432"/>
      </w:pPr>
      <w:r>
        <w:rPr>
          <w:sz w:val="20"/>
          <w:szCs w:val="20"/>
        </w:rPr>
        <w:t xml:space="preserve">Chrysostom, John. </w:t>
      </w:r>
      <w:r>
        <w:rPr>
          <w:i/>
          <w:iCs/>
          <w:sz w:val="20"/>
          <w:szCs w:val="20"/>
        </w:rPr>
        <w:t xml:space="preserve">Six Books on the Priesthood</w:t>
      </w:r>
      <w:r>
        <w:rPr>
          <w:sz w:val="20"/>
          <w:szCs w:val="20"/>
        </w:rPr>
        <w:t xml:space="preserve">. Translated by Graham Neville. Crestwood, NY: St Vladimir’s Seminary Press, 1977.</w:t>
      </w:r>
    </w:p>
    <w:p>
      <w:pPr>
        <w:spacing w:after="140" w:line="252"/>
        <w:ind w:left="432"/>
      </w:pPr>
      <w:r>
        <w:rPr>
          <w:i/>
          <w:iCs/>
          <w:color w:val="555555"/>
          <w:sz w:val="19"/>
          <w:szCs w:val="19"/>
        </w:rPr>
        <w:t xml:space="preserve">The fourth-century treatise behind much of Chapter 14, in an accessible modern translation.</w:t>
      </w:r>
    </w:p>
    <w:p>
      <w:pPr>
        <w:keepNext/>
        <w:spacing w:after="30" w:line="264"/>
        <w:ind w:left="432" w:hanging="432"/>
      </w:pPr>
      <w:r>
        <w:rPr>
          <w:sz w:val="20"/>
          <w:szCs w:val="20"/>
        </w:rPr>
        <w:t xml:space="preserve">Gregory the Great. </w:t>
      </w:r>
      <w:r>
        <w:rPr>
          <w:i/>
          <w:iCs/>
          <w:sz w:val="20"/>
          <w:szCs w:val="20"/>
        </w:rPr>
        <w:t xml:space="preserve">The Book of Pastoral Rule</w:t>
      </w:r>
      <w:r>
        <w:rPr>
          <w:sz w:val="20"/>
          <w:szCs w:val="20"/>
        </w:rPr>
        <w:t xml:space="preserve">. Translated by George E. Demacopoulos. Popular Patristics Series. Crestwood, NY: St Vladimir’s Seminary Press, 2007.</w:t>
      </w:r>
    </w:p>
    <w:p>
      <w:pPr>
        <w:spacing w:after="140" w:line="252"/>
        <w:ind w:left="432"/>
      </w:pPr>
      <w:r>
        <w:rPr>
          <w:i/>
          <w:iCs/>
          <w:color w:val="555555"/>
          <w:sz w:val="19"/>
          <w:szCs w:val="19"/>
        </w:rPr>
        <w:t xml:space="preserve">The most influential early manual on pastoral leadership, remarkable for its insight into the inner dangers of office.</w:t>
      </w:r>
    </w:p>
    <w:p>
      <w:pPr>
        <w:keepNext/>
        <w:spacing w:after="30" w:line="264"/>
        <w:ind w:left="432" w:hanging="432"/>
      </w:pPr>
      <w:r>
        <w:rPr>
          <w:sz w:val="20"/>
          <w:szCs w:val="20"/>
        </w:rPr>
        <w:t xml:space="preserve">Bonhoeffer, Dietrich. </w:t>
      </w:r>
      <w:r>
        <w:rPr>
          <w:i/>
          <w:iCs/>
          <w:sz w:val="20"/>
          <w:szCs w:val="20"/>
        </w:rPr>
        <w:t xml:space="preserve">Life Together</w:t>
      </w:r>
      <w:r>
        <w:rPr>
          <w:sz w:val="20"/>
          <w:szCs w:val="20"/>
        </w:rPr>
        <w:t xml:space="preserve">. Translated by John W. Doberstein. New York: Harper &amp; Row, 1954.</w:t>
      </w:r>
    </w:p>
    <w:p>
      <w:pPr>
        <w:spacing w:after="140" w:line="252"/>
        <w:ind w:left="432"/>
      </w:pPr>
      <w:r>
        <w:rPr>
          <w:i/>
          <w:iCs/>
          <w:color w:val="555555"/>
          <w:sz w:val="19"/>
          <w:szCs w:val="19"/>
        </w:rPr>
        <w:t xml:space="preserve">A brief, profound meditation on Christian community, confession and the ministry of listening, written under pressure of persecution.</w:t>
      </w:r>
    </w:p>
    <w:p>
      <w:pPr>
        <w:pStyle w:val="Heading2"/>
      </w:pPr>
      <w:r>
        <w:t xml:space="preserve">Biblical and Theological Foundations</w:t>
      </w:r>
    </w:p>
    <w:p>
      <w:pPr>
        <w:keepNext/>
        <w:spacing w:after="30" w:line="264"/>
        <w:ind w:left="432" w:hanging="432"/>
      </w:pPr>
      <w:r>
        <w:rPr>
          <w:sz w:val="20"/>
          <w:szCs w:val="20"/>
        </w:rPr>
        <w:t xml:space="preserve">Stott, John. </w:t>
      </w:r>
      <w:r>
        <w:rPr>
          <w:i/>
          <w:iCs/>
          <w:sz w:val="20"/>
          <w:szCs w:val="20"/>
        </w:rPr>
        <w:t xml:space="preserve">Calling Christian Leaders: Biblical Models of Church, Gospel and Ministry</w:t>
      </w:r>
      <w:r>
        <w:rPr>
          <w:sz w:val="20"/>
          <w:szCs w:val="20"/>
        </w:rPr>
        <w:t xml:space="preserve">. Leicester: Inter-Varsity Press, 2002.</w:t>
      </w:r>
    </w:p>
    <w:p>
      <w:pPr>
        <w:spacing w:after="140" w:line="252"/>
        <w:ind w:left="432"/>
      </w:pPr>
      <w:r>
        <w:rPr>
          <w:i/>
          <w:iCs/>
          <w:color w:val="555555"/>
          <w:sz w:val="19"/>
          <w:szCs w:val="19"/>
        </w:rPr>
        <w:t xml:space="preserve">Stott’s exposition of 1 Corinthians 1–4 on power, weakness and the cross in Christian leadership.</w:t>
      </w:r>
    </w:p>
    <w:p>
      <w:pPr>
        <w:keepNext/>
        <w:spacing w:after="30" w:line="264"/>
        <w:ind w:left="432" w:hanging="432"/>
      </w:pPr>
      <w:r>
        <w:rPr>
          <w:sz w:val="20"/>
          <w:szCs w:val="20"/>
        </w:rPr>
        <w:t xml:space="preserve">Carson, D. A. </w:t>
      </w:r>
      <w:r>
        <w:rPr>
          <w:i/>
          <w:iCs/>
          <w:sz w:val="20"/>
          <w:szCs w:val="20"/>
        </w:rPr>
        <w:t xml:space="preserve">The Cross and Christian Ministry: Leadership Lessons from 1 Corinthians</w:t>
      </w:r>
      <w:r>
        <w:rPr>
          <w:sz w:val="20"/>
          <w:szCs w:val="20"/>
        </w:rPr>
        <w:t xml:space="preserve">. Grand Rapids: Baker, 1993.</w:t>
      </w:r>
    </w:p>
    <w:p>
      <w:pPr>
        <w:spacing w:after="140" w:line="252"/>
        <w:ind w:left="432"/>
      </w:pPr>
      <w:r>
        <w:rPr>
          <w:i/>
          <w:iCs/>
          <w:color w:val="555555"/>
          <w:sz w:val="19"/>
          <w:szCs w:val="19"/>
        </w:rPr>
        <w:t xml:space="preserve">A compact study showing how the message of the cross must also shape the manner of those who lead.</w:t>
      </w:r>
    </w:p>
    <w:p>
      <w:pPr>
        <w:keepNext/>
        <w:spacing w:after="30" w:line="264"/>
        <w:ind w:left="432" w:hanging="432"/>
      </w:pPr>
      <w:r>
        <w:rPr>
          <w:sz w:val="20"/>
          <w:szCs w:val="20"/>
        </w:rPr>
        <w:t xml:space="preserve">Clarke, Andrew D. </w:t>
      </w:r>
      <w:r>
        <w:rPr>
          <w:i/>
          <w:iCs/>
          <w:sz w:val="20"/>
          <w:szCs w:val="20"/>
        </w:rPr>
        <w:t xml:space="preserve">A Pauline Theology of Church Leadership</w:t>
      </w:r>
      <w:r>
        <w:rPr>
          <w:sz w:val="20"/>
          <w:szCs w:val="20"/>
        </w:rPr>
        <w:t xml:space="preserve">. London: T&amp;T Clark, 2008.</w:t>
      </w:r>
    </w:p>
    <w:p>
      <w:pPr>
        <w:spacing w:after="140" w:line="252"/>
        <w:ind w:left="432"/>
      </w:pPr>
      <w:r>
        <w:rPr>
          <w:i/>
          <w:iCs/>
          <w:color w:val="555555"/>
          <w:sz w:val="19"/>
          <w:szCs w:val="19"/>
        </w:rPr>
        <w:t xml:space="preserve">A scholarly account of how Paul’s view of leadership contrasted with the status culture of the Graeco-Roman world.</w:t>
      </w:r>
    </w:p>
    <w:p>
      <w:pPr>
        <w:keepNext/>
        <w:spacing w:after="30" w:line="264"/>
        <w:ind w:left="432" w:hanging="432"/>
      </w:pPr>
      <w:r>
        <w:rPr>
          <w:sz w:val="20"/>
          <w:szCs w:val="20"/>
        </w:rPr>
        <w:t xml:space="preserve">Hellerman, Joseph H. </w:t>
      </w:r>
      <w:r>
        <w:rPr>
          <w:i/>
          <w:iCs/>
          <w:sz w:val="20"/>
          <w:szCs w:val="20"/>
        </w:rPr>
        <w:t xml:space="preserve">Embracing Shared Ministry: Power and Status in the Early Church and Why It Matters Today</w:t>
      </w:r>
      <w:r>
        <w:rPr>
          <w:sz w:val="20"/>
          <w:szCs w:val="20"/>
        </w:rPr>
        <w:t xml:space="preserve">. Grand Rapids: Kregel, 2013.</w:t>
      </w:r>
    </w:p>
    <w:p>
      <w:pPr>
        <w:spacing w:after="140" w:line="252"/>
        <w:ind w:left="432"/>
      </w:pPr>
      <w:r>
        <w:rPr>
          <w:i/>
          <w:iCs/>
          <w:color w:val="555555"/>
          <w:sz w:val="19"/>
          <w:szCs w:val="19"/>
        </w:rPr>
        <w:t xml:space="preserve">An illuminating study of Roman honour culture and Philippians 2 that complements Chapter 2 of this book.</w:t>
      </w:r>
    </w:p>
    <w:p>
      <w:pPr>
        <w:pStyle w:val="Heading2"/>
      </w:pPr>
      <w:r>
        <w:t xml:space="preserve">Character, Integrity and the Inner Life</w:t>
      </w:r>
    </w:p>
    <w:p>
      <w:pPr>
        <w:keepNext/>
        <w:spacing w:after="30" w:line="264"/>
        <w:ind w:left="432" w:hanging="432"/>
      </w:pPr>
      <w:r>
        <w:rPr>
          <w:sz w:val="20"/>
          <w:szCs w:val="20"/>
        </w:rPr>
        <w:t xml:space="preserve">Tripp, Paul David. </w:t>
      </w:r>
      <w:r>
        <w:rPr>
          <w:i/>
          <w:iCs/>
          <w:sz w:val="20"/>
          <w:szCs w:val="20"/>
        </w:rPr>
        <w:t xml:space="preserve">Dangerous Calling: Confronting the Unique Challenges of Pastoral Ministry</w:t>
      </w:r>
      <w:r>
        <w:rPr>
          <w:sz w:val="20"/>
          <w:szCs w:val="20"/>
        </w:rPr>
        <w:t xml:space="preserve">. Wheaton, IL: Crossway, 2012.</w:t>
      </w:r>
    </w:p>
    <w:p>
      <w:pPr>
        <w:spacing w:after="140" w:line="252"/>
        <w:ind w:left="432"/>
      </w:pPr>
      <w:r>
        <w:rPr>
          <w:i/>
          <w:iCs/>
          <w:color w:val="555555"/>
          <w:sz w:val="19"/>
          <w:szCs w:val="19"/>
        </w:rPr>
        <w:t xml:space="preserve">A frank examination of the hidden spiritual dangers that accompany pastoral ministry and public success.</w:t>
      </w:r>
    </w:p>
    <w:p>
      <w:pPr>
        <w:keepNext/>
        <w:spacing w:after="30" w:line="264"/>
        <w:ind w:left="432" w:hanging="432"/>
      </w:pPr>
      <w:r>
        <w:rPr>
          <w:sz w:val="20"/>
          <w:szCs w:val="20"/>
        </w:rPr>
        <w:t xml:space="preserve">Hughes, R. Kent, and Barbara Hughes. </w:t>
      </w:r>
      <w:r>
        <w:rPr>
          <w:i/>
          <w:iCs/>
          <w:sz w:val="20"/>
          <w:szCs w:val="20"/>
        </w:rPr>
        <w:t xml:space="preserve">Liberating Ministry from the Success Syndrome</w:t>
      </w:r>
      <w:r>
        <w:rPr>
          <w:sz w:val="20"/>
          <w:szCs w:val="20"/>
        </w:rPr>
        <w:t xml:space="preserve">. Wheaton, IL: Tyndale House, 1987.</w:t>
      </w:r>
    </w:p>
    <w:p>
      <w:pPr>
        <w:spacing w:after="140" w:line="252"/>
        <w:ind w:left="432"/>
      </w:pPr>
      <w:r>
        <w:rPr>
          <w:i/>
          <w:iCs/>
          <w:color w:val="555555"/>
          <w:sz w:val="19"/>
          <w:szCs w:val="19"/>
        </w:rPr>
        <w:t xml:space="preserve">A pastoral corrective to measuring ministry by numbers rather than faithfulness.</w:t>
      </w:r>
    </w:p>
    <w:p>
      <w:pPr>
        <w:keepNext/>
        <w:spacing w:after="30" w:line="264"/>
        <w:ind w:left="432" w:hanging="432"/>
      </w:pPr>
      <w:r>
        <w:rPr>
          <w:sz w:val="20"/>
          <w:szCs w:val="20"/>
        </w:rPr>
        <w:t xml:space="preserve">MacDonald, Gordon. </w:t>
      </w:r>
      <w:r>
        <w:rPr>
          <w:i/>
          <w:iCs/>
          <w:sz w:val="20"/>
          <w:szCs w:val="20"/>
        </w:rPr>
        <w:t xml:space="preserve">Ordering Your Private World</w:t>
      </w:r>
      <w:r>
        <w:rPr>
          <w:sz w:val="20"/>
          <w:szCs w:val="20"/>
        </w:rPr>
        <w:t xml:space="preserve">. Expanded ed. Nashville: Thomas Nelson, 2003.</w:t>
      </w:r>
    </w:p>
    <w:p>
      <w:pPr>
        <w:spacing w:after="140" w:line="252"/>
        <w:ind w:left="432"/>
      </w:pPr>
      <w:r>
        <w:rPr>
          <w:i/>
          <w:iCs/>
          <w:color w:val="555555"/>
          <w:sz w:val="19"/>
          <w:szCs w:val="19"/>
        </w:rPr>
        <w:t xml:space="preserve">Practical guidance on the disciplines of the inner life by an author who later wrote candidly about his own failure and restoration.</w:t>
      </w:r>
    </w:p>
    <w:p>
      <w:pPr>
        <w:keepNext/>
        <w:spacing w:after="30" w:line="264"/>
        <w:ind w:left="432" w:hanging="432"/>
      </w:pPr>
      <w:r>
        <w:rPr>
          <w:sz w:val="20"/>
          <w:szCs w:val="20"/>
        </w:rPr>
        <w:t xml:space="preserve">Barton, Ruth Haley. </w:t>
      </w:r>
      <w:r>
        <w:rPr>
          <w:i/>
          <w:iCs/>
          <w:sz w:val="20"/>
          <w:szCs w:val="20"/>
        </w:rPr>
        <w:t xml:space="preserve">Strengthening the Soul of Your Leadership: Seeking God in the Crucible of Ministry</w:t>
      </w:r>
      <w:r>
        <w:rPr>
          <w:sz w:val="20"/>
          <w:szCs w:val="20"/>
        </w:rPr>
        <w:t xml:space="preserve">. Downers Grove, IL: InterVarsity Press, 2008.</w:t>
      </w:r>
    </w:p>
    <w:p>
      <w:pPr>
        <w:spacing w:after="140" w:line="252"/>
        <w:ind w:left="432"/>
      </w:pPr>
      <w:r>
        <w:rPr>
          <w:i/>
          <w:iCs/>
          <w:color w:val="555555"/>
          <w:sz w:val="19"/>
          <w:szCs w:val="19"/>
        </w:rPr>
        <w:t xml:space="preserve">Reflections on the life of Moses as a guide to sustaining spiritual depth under the pressures of leadership.</w:t>
      </w:r>
    </w:p>
    <w:p>
      <w:pPr>
        <w:keepNext/>
        <w:spacing w:after="30" w:line="264"/>
        <w:ind w:left="432" w:hanging="432"/>
      </w:pPr>
      <w:r>
        <w:rPr>
          <w:sz w:val="20"/>
          <w:szCs w:val="20"/>
        </w:rPr>
        <w:t xml:space="preserve">Scazzero, Peter. </w:t>
      </w:r>
      <w:r>
        <w:rPr>
          <w:i/>
          <w:iCs/>
          <w:sz w:val="20"/>
          <w:szCs w:val="20"/>
        </w:rPr>
        <w:t xml:space="preserve">The Emotionally Healthy Leader</w:t>
      </w:r>
      <w:r>
        <w:rPr>
          <w:sz w:val="20"/>
          <w:szCs w:val="20"/>
        </w:rPr>
        <w:t xml:space="preserve">. Grand Rapids: Zondervan, 2015.</w:t>
      </w:r>
    </w:p>
    <w:p>
      <w:pPr>
        <w:spacing w:after="140" w:line="252"/>
        <w:ind w:left="432"/>
      </w:pPr>
      <w:r>
        <w:rPr>
          <w:i/>
          <w:iCs/>
          <w:color w:val="555555"/>
          <w:sz w:val="19"/>
          <w:szCs w:val="19"/>
        </w:rPr>
        <w:t xml:space="preserve">Addresses the connection between a leader’s unexamined inner life and the health of the ministry he or she leads.</w:t>
      </w:r>
    </w:p>
    <w:p>
      <w:pPr>
        <w:keepNext/>
        <w:spacing w:after="30" w:line="264"/>
        <w:ind w:left="432" w:hanging="432"/>
      </w:pPr>
      <w:r>
        <w:rPr>
          <w:sz w:val="20"/>
          <w:szCs w:val="20"/>
        </w:rPr>
        <w:t xml:space="preserve">Cordeiro, Wayne. </w:t>
      </w:r>
      <w:r>
        <w:rPr>
          <w:i/>
          <w:iCs/>
          <w:sz w:val="20"/>
          <w:szCs w:val="20"/>
        </w:rPr>
        <w:t xml:space="preserve">Leading on Empty: Refilling Your Tank and Renewing Your Passion</w:t>
      </w:r>
      <w:r>
        <w:rPr>
          <w:sz w:val="20"/>
          <w:szCs w:val="20"/>
        </w:rPr>
        <w:t xml:space="preserve">. Minneapolis: Bethany House, 2009.</w:t>
      </w:r>
    </w:p>
    <w:p>
      <w:pPr>
        <w:spacing w:after="140" w:line="252"/>
        <w:ind w:left="432"/>
      </w:pPr>
      <w:r>
        <w:rPr>
          <w:i/>
          <w:iCs/>
          <w:color w:val="555555"/>
          <w:sz w:val="19"/>
          <w:szCs w:val="19"/>
        </w:rPr>
        <w:t xml:space="preserve">A pastor’s honest account of burnout and recovery, directly relevant to Chapter 11.</w:t>
      </w:r>
    </w:p>
    <w:p>
      <w:pPr>
        <w:keepNext/>
        <w:spacing w:after="30" w:line="264"/>
        <w:ind w:left="432" w:hanging="432"/>
      </w:pPr>
      <w:r>
        <w:rPr>
          <w:sz w:val="20"/>
          <w:szCs w:val="20"/>
        </w:rPr>
        <w:t xml:space="preserve">Alcorn, Randy. </w:t>
      </w:r>
      <w:r>
        <w:rPr>
          <w:i/>
          <w:iCs/>
          <w:sz w:val="20"/>
          <w:szCs w:val="20"/>
        </w:rPr>
        <w:t xml:space="preserve">The Purity Principle</w:t>
      </w:r>
      <w:r>
        <w:rPr>
          <w:sz w:val="20"/>
          <w:szCs w:val="20"/>
        </w:rPr>
        <w:t xml:space="preserve">. Sisters, OR: Multnomah, 2003.</w:t>
      </w:r>
    </w:p>
    <w:p>
      <w:pPr>
        <w:spacing w:after="140" w:line="252"/>
        <w:ind w:left="432"/>
      </w:pPr>
      <w:r>
        <w:rPr>
          <w:i/>
          <w:iCs/>
          <w:color w:val="555555"/>
          <w:sz w:val="19"/>
          <w:szCs w:val="19"/>
        </w:rPr>
        <w:t xml:space="preserve">A short, practical guide to guarding sexual integrity, useful alongside Chapter 5.</w:t>
      </w:r>
    </w:p>
    <w:p>
      <w:pPr>
        <w:keepNext/>
        <w:spacing w:after="30" w:line="264"/>
        <w:ind w:left="432" w:hanging="432"/>
      </w:pPr>
      <w:r>
        <w:rPr>
          <w:sz w:val="20"/>
          <w:szCs w:val="20"/>
        </w:rPr>
        <w:t xml:space="preserve">Harvey, Dave. </w:t>
      </w:r>
      <w:r>
        <w:rPr>
          <w:i/>
          <w:iCs/>
          <w:sz w:val="20"/>
          <w:szCs w:val="20"/>
        </w:rPr>
        <w:t xml:space="preserve">Rescuing Ambition</w:t>
      </w:r>
      <w:r>
        <w:rPr>
          <w:sz w:val="20"/>
          <w:szCs w:val="20"/>
        </w:rPr>
        <w:t xml:space="preserve">. Wheaton, IL: Crossway, 2010.</w:t>
      </w:r>
    </w:p>
    <w:p>
      <w:pPr>
        <w:spacing w:after="140" w:line="252"/>
        <w:ind w:left="432"/>
      </w:pPr>
      <w:r>
        <w:rPr>
          <w:i/>
          <w:iCs/>
          <w:color w:val="555555"/>
          <w:sz w:val="19"/>
          <w:szCs w:val="19"/>
        </w:rPr>
        <w:t xml:space="preserve">Distinguishes godly ambition for God’s glory from the selfish ambition that fuels pride and rivalry.</w:t>
      </w:r>
    </w:p>
    <w:p>
      <w:pPr>
        <w:keepNext/>
        <w:spacing w:after="30" w:line="264"/>
        <w:ind w:left="432" w:hanging="432"/>
      </w:pPr>
      <w:r>
        <w:rPr>
          <w:sz w:val="20"/>
          <w:szCs w:val="20"/>
        </w:rPr>
        <w:t xml:space="preserve">Farrar, Steve. </w:t>
      </w:r>
      <w:r>
        <w:rPr>
          <w:i/>
          <w:iCs/>
          <w:sz w:val="20"/>
          <w:szCs w:val="20"/>
        </w:rPr>
        <w:t xml:space="preserve">Finishing Strong: Going the Distance for Your Family</w:t>
      </w:r>
      <w:r>
        <w:rPr>
          <w:sz w:val="20"/>
          <w:szCs w:val="20"/>
        </w:rPr>
        <w:t xml:space="preserve">. Sisters, OR: Multnomah, 1995.</w:t>
      </w:r>
    </w:p>
    <w:p>
      <w:pPr>
        <w:spacing w:after="140" w:line="252"/>
        <w:ind w:left="432"/>
      </w:pPr>
      <w:r>
        <w:rPr>
          <w:i/>
          <w:iCs/>
          <w:color w:val="555555"/>
          <w:sz w:val="19"/>
          <w:szCs w:val="19"/>
        </w:rPr>
        <w:t xml:space="preserve">An exhortation to persevere to the end, with attention to the home as well as the ministry.</w:t>
      </w:r>
    </w:p>
    <w:p>
      <w:pPr>
        <w:pStyle w:val="Heading2"/>
      </w:pPr>
      <w:r>
        <w:t xml:space="preserve">Power, Abuse and Accountability</w:t>
      </w:r>
    </w:p>
    <w:p>
      <w:pPr>
        <w:keepNext/>
        <w:spacing w:after="30" w:line="264"/>
        <w:ind w:left="432" w:hanging="432"/>
      </w:pPr>
      <w:r>
        <w:rPr>
          <w:sz w:val="20"/>
          <w:szCs w:val="20"/>
        </w:rPr>
        <w:t xml:space="preserve">DeGroat, Chuck. </w:t>
      </w:r>
      <w:r>
        <w:rPr>
          <w:i/>
          <w:iCs/>
          <w:sz w:val="20"/>
          <w:szCs w:val="20"/>
        </w:rPr>
        <w:t xml:space="preserve">When Narcissism Comes to Church: Healing Your Community from Emotional and Spiritual Abuse</w:t>
      </w:r>
      <w:r>
        <w:rPr>
          <w:sz w:val="20"/>
          <w:szCs w:val="20"/>
        </w:rPr>
        <w:t xml:space="preserve">. Downers Grove, IL: IVP, 2020.</w:t>
      </w:r>
    </w:p>
    <w:p>
      <w:pPr>
        <w:spacing w:after="140" w:line="252"/>
        <w:ind w:left="432"/>
      </w:pPr>
      <w:r>
        <w:rPr>
          <w:i/>
          <w:iCs/>
          <w:color w:val="555555"/>
          <w:sz w:val="19"/>
          <w:szCs w:val="19"/>
        </w:rPr>
        <w:t xml:space="preserve">Explains how self-centred leadership takes root in churches and how communities can respond with wisdom.</w:t>
      </w:r>
    </w:p>
    <w:p>
      <w:pPr>
        <w:keepNext/>
        <w:spacing w:after="30" w:line="264"/>
        <w:ind w:left="432" w:hanging="432"/>
      </w:pPr>
      <w:r>
        <w:rPr>
          <w:sz w:val="20"/>
          <w:szCs w:val="20"/>
        </w:rPr>
        <w:t xml:space="preserve">Mullen, Wade. </w:t>
      </w:r>
      <w:r>
        <w:rPr>
          <w:i/>
          <w:iCs/>
          <w:sz w:val="20"/>
          <w:szCs w:val="20"/>
        </w:rPr>
        <w:t xml:space="preserve">Something’s Not Right: Decoding the Hidden Tactics of Abuse—and Freeing Yourself from Its Power</w:t>
      </w:r>
      <w:r>
        <w:rPr>
          <w:sz w:val="20"/>
          <w:szCs w:val="20"/>
        </w:rPr>
        <w:t xml:space="preserve">. Carol Stream, IL: Tyndale Momentum, 2020.</w:t>
      </w:r>
    </w:p>
    <w:p>
      <w:pPr>
        <w:spacing w:after="140" w:line="252"/>
        <w:ind w:left="432"/>
      </w:pPr>
      <w:r>
        <w:rPr>
          <w:i/>
          <w:iCs/>
          <w:color w:val="555555"/>
          <w:sz w:val="19"/>
          <w:szCs w:val="19"/>
        </w:rPr>
        <w:t xml:space="preserve">Helps readers recognise the patterns by which leaders and institutions conceal wrongdoing.</w:t>
      </w:r>
    </w:p>
    <w:p>
      <w:pPr>
        <w:keepNext/>
        <w:spacing w:after="30" w:line="264"/>
        <w:ind w:left="432" w:hanging="432"/>
      </w:pPr>
      <w:r>
        <w:rPr>
          <w:sz w:val="20"/>
          <w:szCs w:val="20"/>
        </w:rPr>
        <w:t xml:space="preserve">Greenleaf, Robert K. </w:t>
      </w:r>
      <w:r>
        <w:rPr>
          <w:i/>
          <w:iCs/>
          <w:sz w:val="20"/>
          <w:szCs w:val="20"/>
        </w:rPr>
        <w:t xml:space="preserve">Servant Leadership: A Journey into the Nature of Legitimate Power and Greatness</w:t>
      </w:r>
      <w:r>
        <w:rPr>
          <w:sz w:val="20"/>
          <w:szCs w:val="20"/>
        </w:rPr>
        <w:t xml:space="preserve">. New York: Paulist Press, 1977.</w:t>
      </w:r>
    </w:p>
    <w:p>
      <w:pPr>
        <w:spacing w:after="140" w:line="252"/>
        <w:ind w:left="432"/>
      </w:pPr>
      <w:r>
        <w:rPr>
          <w:i/>
          <w:iCs/>
          <w:color w:val="555555"/>
          <w:sz w:val="19"/>
          <w:szCs w:val="19"/>
        </w:rPr>
        <w:t xml:space="preserve">The influential essay collection that popularised the language of servant leadership beyond the Church.</w:t>
      </w:r>
    </w:p>
    <w:p>
      <w:pPr>
        <w:pStyle w:val="Heading2"/>
      </w:pPr>
      <w:r>
        <w:t xml:space="preserve">Leadership in Africa</w:t>
      </w:r>
    </w:p>
    <w:p>
      <w:pPr>
        <w:keepNext/>
        <w:spacing w:after="30" w:line="264"/>
        <w:ind w:left="432" w:hanging="432"/>
      </w:pPr>
      <w:r>
        <w:rPr>
          <w:sz w:val="20"/>
          <w:szCs w:val="20"/>
        </w:rPr>
        <w:t xml:space="preserve">Bediako, Kwame. </w:t>
      </w:r>
      <w:r>
        <w:rPr>
          <w:i/>
          <w:iCs/>
          <w:sz w:val="20"/>
          <w:szCs w:val="20"/>
        </w:rPr>
        <w:t xml:space="preserve">Christianity in Africa: The Renewal of a Non-Western Religion</w:t>
      </w:r>
      <w:r>
        <w:rPr>
          <w:sz w:val="20"/>
          <w:szCs w:val="20"/>
        </w:rPr>
        <w:t xml:space="preserve">. Edinburgh: Edinburgh University Press; Maryknoll, NY: Orbis Books, 1995.</w:t>
      </w:r>
    </w:p>
    <w:p>
      <w:pPr>
        <w:spacing w:after="140" w:line="252"/>
        <w:ind w:left="432"/>
      </w:pPr>
      <w:r>
        <w:rPr>
          <w:i/>
          <w:iCs/>
          <w:color w:val="555555"/>
          <w:sz w:val="19"/>
          <w:szCs w:val="19"/>
        </w:rPr>
        <w:t xml:space="preserve">A foundational work on the shape and significance of African Christianity by one of its leading theologians.</w:t>
      </w:r>
    </w:p>
    <w:p>
      <w:pPr>
        <w:keepNext/>
        <w:spacing w:after="30" w:line="264"/>
        <w:ind w:left="432" w:hanging="432"/>
      </w:pPr>
      <w:r>
        <w:rPr>
          <w:sz w:val="20"/>
          <w:szCs w:val="20"/>
        </w:rPr>
        <w:t xml:space="preserve">Priest, Robert J., and Kirimi Barine, eds. </w:t>
      </w:r>
      <w:r>
        <w:rPr>
          <w:i/>
          <w:iCs/>
          <w:sz w:val="20"/>
          <w:szCs w:val="20"/>
        </w:rPr>
        <w:t xml:space="preserve">African Christian Leadership: Realities, Opportunities, and Impact</w:t>
      </w:r>
      <w:r>
        <w:rPr>
          <w:sz w:val="20"/>
          <w:szCs w:val="20"/>
        </w:rPr>
        <w:t xml:space="preserve">. Maryknoll, NY: Orbis Books, 2017.</w:t>
      </w:r>
    </w:p>
    <w:p>
      <w:pPr>
        <w:spacing w:after="140" w:line="252"/>
        <w:ind w:left="432"/>
      </w:pPr>
      <w:r>
        <w:rPr>
          <w:i/>
          <w:iCs/>
          <w:color w:val="555555"/>
          <w:sz w:val="19"/>
          <w:szCs w:val="19"/>
        </w:rPr>
        <w:t xml:space="preserve">Presents the findings of a major research project on Christian leaders across several African countries.</w:t>
      </w:r>
    </w:p>
    <w:p>
      <w:pPr>
        <w:keepNext/>
        <w:spacing w:after="30" w:line="264"/>
        <w:ind w:left="432" w:hanging="432"/>
      </w:pPr>
      <w:r>
        <w:rPr>
          <w:sz w:val="20"/>
          <w:szCs w:val="20"/>
        </w:rPr>
        <w:t xml:space="preserve">Asamoah-Gyadu, J. Kwabena. </w:t>
      </w:r>
      <w:r>
        <w:rPr>
          <w:i/>
          <w:iCs/>
          <w:sz w:val="20"/>
          <w:szCs w:val="20"/>
        </w:rPr>
        <w:t xml:space="preserve">Contemporary Pentecostal Christianity: Interpretations from an African Context</w:t>
      </w:r>
      <w:r>
        <w:rPr>
          <w:sz w:val="20"/>
          <w:szCs w:val="20"/>
        </w:rPr>
        <w:t xml:space="preserve">. Oxford: Regnum, 2013.</w:t>
      </w:r>
    </w:p>
    <w:p>
      <w:pPr>
        <w:spacing w:after="140" w:line="252"/>
        <w:ind w:left="432"/>
      </w:pPr>
      <w:r>
        <w:rPr>
          <w:i/>
          <w:iCs/>
          <w:color w:val="555555"/>
          <w:sz w:val="19"/>
          <w:szCs w:val="19"/>
        </w:rPr>
        <w:t xml:space="preserve">A sympathetic but critical reading of African Pentecostalism, including questions of prosperity and authority.</w:t>
      </w:r>
    </w:p>
    <w:p>
      <w:pPr>
        <w:keepNext/>
        <w:spacing w:after="30" w:line="264"/>
        <w:ind w:left="432" w:hanging="432"/>
      </w:pPr>
      <w:r>
        <w:rPr>
          <w:sz w:val="20"/>
          <w:szCs w:val="20"/>
        </w:rPr>
        <w:t xml:space="preserve">Ojo, Matthews A. </w:t>
      </w:r>
      <w:r>
        <w:rPr>
          <w:i/>
          <w:iCs/>
          <w:sz w:val="20"/>
          <w:szCs w:val="20"/>
        </w:rPr>
        <w:t xml:space="preserve">The End-Time Army: Charismatic Movements in Modern Nigeria</w:t>
      </w:r>
      <w:r>
        <w:rPr>
          <w:sz w:val="20"/>
          <w:szCs w:val="20"/>
        </w:rPr>
        <w:t xml:space="preserve">. Trenton, NJ: Africa World Press, 2006.</w:t>
      </w:r>
    </w:p>
    <w:p>
      <w:pPr>
        <w:spacing w:after="140" w:line="252"/>
        <w:ind w:left="432"/>
      </w:pPr>
      <w:r>
        <w:rPr>
          <w:i/>
          <w:iCs/>
          <w:color w:val="555555"/>
          <w:sz w:val="19"/>
          <w:szCs w:val="19"/>
        </w:rPr>
        <w:t xml:space="preserve">A historical study of the Nigerian charismatic movements that shape much of today’s church leadership culture.</w:t>
      </w:r>
    </w:p>
    <w:p>
      <w:pPr>
        <w:keepNext/>
        <w:spacing w:after="30" w:line="264"/>
        <w:ind w:left="432" w:hanging="432"/>
      </w:pPr>
      <w:r>
        <w:rPr>
          <w:sz w:val="20"/>
          <w:szCs w:val="20"/>
        </w:rPr>
        <w:t xml:space="preserve">Osei-Mensah, Gottfried. </w:t>
      </w:r>
      <w:r>
        <w:rPr>
          <w:i/>
          <w:iCs/>
          <w:sz w:val="20"/>
          <w:szCs w:val="20"/>
        </w:rPr>
        <w:t xml:space="preserve">Wanted: Servant Leaders</w:t>
      </w:r>
      <w:r>
        <w:rPr>
          <w:sz w:val="20"/>
          <w:szCs w:val="20"/>
        </w:rPr>
        <w:t xml:space="preserve">. Achimota, Ghana: Africa Christian Press, 1990.</w:t>
      </w:r>
    </w:p>
    <w:p>
      <w:pPr>
        <w:spacing w:after="140" w:line="252"/>
        <w:ind w:left="432"/>
      </w:pPr>
      <w:r>
        <w:rPr>
          <w:i/>
          <w:iCs/>
          <w:color w:val="555555"/>
          <w:sz w:val="19"/>
          <w:szCs w:val="19"/>
        </w:rPr>
        <w:t xml:space="preserve">A short and direct challenge to African church leaders from a respected evangelical statesman.</w:t>
      </w:r>
    </w:p>
    <w:p>
      <w:pPr>
        <w:pStyle w:val="Heading2"/>
      </w:pPr>
      <w:r>
        <w:t xml:space="preserve">Rome and the Early Church</w:t>
      </w:r>
    </w:p>
    <w:p>
      <w:pPr>
        <w:keepNext/>
        <w:spacing w:after="30" w:line="264"/>
        <w:ind w:left="432" w:hanging="432"/>
      </w:pPr>
      <w:r>
        <w:rPr>
          <w:sz w:val="20"/>
          <w:szCs w:val="20"/>
        </w:rPr>
        <w:t xml:space="preserve">Beard, Mary. </w:t>
      </w:r>
      <w:r>
        <w:rPr>
          <w:i/>
          <w:iCs/>
          <w:sz w:val="20"/>
          <w:szCs w:val="20"/>
        </w:rPr>
        <w:t xml:space="preserve">SPQR: A History of Ancient Rome</w:t>
      </w:r>
      <w:r>
        <w:rPr>
          <w:sz w:val="20"/>
          <w:szCs w:val="20"/>
        </w:rPr>
        <w:t xml:space="preserve">. London: Profile Books, 2015.</w:t>
      </w:r>
    </w:p>
    <w:p>
      <w:pPr>
        <w:spacing w:after="140" w:line="252"/>
        <w:ind w:left="432"/>
      </w:pPr>
      <w:r>
        <w:rPr>
          <w:i/>
          <w:iCs/>
          <w:color w:val="555555"/>
          <w:sz w:val="19"/>
          <w:szCs w:val="19"/>
        </w:rPr>
        <w:t xml:space="preserve">A readable history of Rome that illuminates the political culture into which the gospel came.</w:t>
      </w:r>
    </w:p>
    <w:p>
      <w:pPr>
        <w:keepNext/>
        <w:spacing w:after="30" w:line="264"/>
        <w:ind w:left="432" w:hanging="432"/>
      </w:pPr>
      <w:r>
        <w:rPr>
          <w:sz w:val="20"/>
          <w:szCs w:val="20"/>
        </w:rPr>
        <w:t xml:space="preserve">Holland, Tom. </w:t>
      </w:r>
      <w:r>
        <w:rPr>
          <w:i/>
          <w:iCs/>
          <w:sz w:val="20"/>
          <w:szCs w:val="20"/>
        </w:rPr>
        <w:t xml:space="preserve">Dominion: The Making of the Western Mind</w:t>
      </w:r>
      <w:r>
        <w:rPr>
          <w:sz w:val="20"/>
          <w:szCs w:val="20"/>
        </w:rPr>
        <w:t xml:space="preserve">. London: Little, Brown, 2019.</w:t>
      </w:r>
    </w:p>
    <w:p>
      <w:pPr>
        <w:spacing w:after="140" w:line="252"/>
        <w:ind w:left="432"/>
      </w:pPr>
      <w:r>
        <w:rPr>
          <w:i/>
          <w:iCs/>
          <w:color w:val="555555"/>
          <w:sz w:val="19"/>
          <w:szCs w:val="19"/>
        </w:rPr>
        <w:t xml:space="preserve">Traces how the Christian vision of humility and the dignity of the weak overturned the values of the ancient world.</w:t>
      </w:r>
    </w:p>
    <w:p>
      <w:pPr>
        <w:keepNext/>
        <w:spacing w:after="30" w:line="264"/>
        <w:ind w:left="432" w:hanging="432"/>
      </w:pPr>
      <w:r>
        <w:rPr>
          <w:sz w:val="20"/>
          <w:szCs w:val="20"/>
        </w:rPr>
        <w:t xml:space="preserve">Brown, Peter. </w:t>
      </w:r>
      <w:r>
        <w:rPr>
          <w:i/>
          <w:iCs/>
          <w:sz w:val="20"/>
          <w:szCs w:val="20"/>
        </w:rPr>
        <w:t xml:space="preserve">Power and Persuasion in Late Antiquity: Towards a Christian Empire</w:t>
      </w:r>
      <w:r>
        <w:rPr>
          <w:sz w:val="20"/>
          <w:szCs w:val="20"/>
        </w:rPr>
        <w:t xml:space="preserve">. Madison: University of Wisconsin Press, 1992.</w:t>
      </w:r>
    </w:p>
    <w:p>
      <w:pPr>
        <w:spacing w:after="140" w:line="252"/>
        <w:ind w:left="432"/>
      </w:pPr>
      <w:r>
        <w:rPr>
          <w:i/>
          <w:iCs/>
          <w:color w:val="555555"/>
          <w:sz w:val="19"/>
          <w:szCs w:val="19"/>
        </w:rPr>
        <w:t xml:space="preserve">A masterly study of how bishops gained and used influence in the late Roman world, relevant to Chapter 15.</w:t>
      </w:r>
    </w:p>
    <w:p>
      <w:pPr>
        <w:keepNext/>
        <w:spacing w:after="30" w:line="264"/>
        <w:ind w:left="432" w:hanging="432"/>
      </w:pPr>
      <w:r>
        <w:rPr>
          <w:sz w:val="20"/>
          <w:szCs w:val="20"/>
        </w:rPr>
        <w:t xml:space="preserve">Chadwick, Henry. </w:t>
      </w:r>
      <w:r>
        <w:rPr>
          <w:i/>
          <w:iCs/>
          <w:sz w:val="20"/>
          <w:szCs w:val="20"/>
        </w:rPr>
        <w:t xml:space="preserve">The Early Church</w:t>
      </w:r>
      <w:r>
        <w:rPr>
          <w:sz w:val="20"/>
          <w:szCs w:val="20"/>
        </w:rPr>
        <w:t xml:space="preserve">. Rev. ed. London: Penguin, 1993.</w:t>
      </w:r>
    </w:p>
    <w:p>
      <w:pPr>
        <w:spacing w:after="140" w:line="252"/>
        <w:ind w:left="432"/>
      </w:pPr>
      <w:r>
        <w:rPr>
          <w:i/>
          <w:iCs/>
          <w:color w:val="555555"/>
          <w:sz w:val="19"/>
          <w:szCs w:val="19"/>
        </w:rPr>
        <w:t xml:space="preserve">A concise, reliable introduction to the history of the Church from the apostles to the fifth century.</w:t>
      </w:r>
    </w:p>
    <w:p>
      <w:pPr>
        <w:sectPr>
          <w:headerReference w:type="default" r:id="rId144"/>
          <w:headerReference w:type="first" r:id="rId145"/>
          <w:footerReference w:type="default" r:id="rId146"/>
          <w:footerReference w:type="first" r:id="rId147"/>
          <w:type w:val="nextPage"/>
          <w:pgSz w:w="8640" w:h="12960" w:orient="portrait"/>
          <w:pgMar w:top="1080" w:right="936" w:bottom="1008" w:left="1008" w:header="560" w:footer="520" w:gutter="0"/>
          <w:pgNumType w:fmt="decimal"/>
          <w:titlePg/>
          <w:docGrid w:linePitch="360"/>
        </w:sectPr>
      </w:pPr>
    </w:p>
    <w:p>
      <w:pPr>
        <w:spacing w:after="160" w:before="1300"/>
        <w:jc w:val="center"/>
      </w:pPr>
      <w:r>
        <w:rPr>
          <w:b/>
          <w:bCs/>
          <w:color w:val="A67C1A"/>
          <w:spacing w:val="60"/>
          <w:sz w:val="20"/>
          <w:szCs w:val="20"/>
        </w:rPr>
        <w:t xml:space="preserve">ABOUT THE AUTHOR</w:t>
      </w:r>
    </w:p>
    <w:p>
      <w:pPr>
        <w:pStyle w:val="Heading1"/>
      </w:pPr>
      <w:bookmarkStart w:id="1101" w:name="toc_author"/>
      <w:r>
        <w:t xml:space="preserve">Ebimobo-Owei Donatus Tambou</w:t>
      </w:r>
      <w:bookmarkEnd w:id="1101"/>
    </w:p>
    <w:p>
      <w:pPr>
        <w:pBdr>
          <w:bottom w:val="single" w:color="A67C1A" w:sz="8" w:space="1"/>
        </w:pBdr>
        <w:spacing w:after="240" w:before="120"/>
        <w:ind w:left="2448" w:right="2448"/>
        <w:jc w:val="center"/>
      </w:pPr>
    </w:p>
    <w:p>
      <w:pPr>
        <w:pStyle w:val="BodyFirst"/>
      </w:pPr>
      <w:r>
        <w:rPr>
          <w:b/>
          <w:bCs/>
        </w:rPr>
        <w:t xml:space="preserve">Ebimobo-Owei Donatus Tambou, Ph.D.,</w:t>
      </w:r>
      <w:r>
        <w:t xml:space="preserve"> is a theological educator and biblical scholar affiliated with the Redeemed Christian Theological College (RCTC), Nigeria. His teaching and research are grounded in biblical studies and Christian theology, with a particular love for the literature of the Old Testament and a sustained concern for the life and leadership of the Church in Nigeria and across Africa.</w:t>
      </w:r>
    </w:p>
    <w:p>
      <w:pPr>
        <w:pStyle w:val="Body"/>
      </w:pPr>
      <w:r>
        <w:t xml:space="preserve">Dr Tambou is the author of the multi-volume </w:t>
      </w:r>
      <w:r>
        <w:rPr>
          <w:i/>
          <w:iCs/>
        </w:rPr>
        <w:t xml:space="preserve">Tambou Life Application Prayer Commentary</w:t>
      </w:r>
      <w:r>
        <w:t xml:space="preserve">, a verse-by-verse devotional commentary on the Old Testament in which each verse is paraphrased, applied to daily life and turned into prayer, and of </w:t>
      </w:r>
      <w:r>
        <w:rPr>
          <w:i/>
          <w:iCs/>
        </w:rPr>
        <w:t xml:space="preserve">A Call to Spiritual Renewal</w:t>
      </w:r>
      <w:r>
        <w:t xml:space="preserve">, a study of the atonement with a distinctively African Pentecostal dimension. Alongside his own writing, he gives much of his time to supervising and supporting the academic work of students, researchers and colleagues in theological education.</w:t>
      </w:r>
    </w:p>
    <w:p>
      <w:pPr>
        <w:pStyle w:val="Body"/>
      </w:pPr>
      <w:r>
        <w:t xml:space="preserve">He is one of thirteen children. His mother never had the opportunity to attend school, yet her determination that her children should be educated saw eleven of the thirteen graduate from university. That example of faith, sacrifice and aspiration continues to inspire his commitment to forming leaders who are both learned and godly.</w:t>
      </w:r>
    </w:p>
    <w:p>
      <w:pPr>
        <w:pStyle w:val="Body"/>
      </w:pPr>
      <w:r>
        <w:rPr>
          <w:i/>
          <w:iCs/>
        </w:rPr>
        <w:t xml:space="preserve">Leaders’ Pitfalls</w:t>
      </w:r>
      <w:r>
        <w:t xml:space="preserve"> brings together his scholarship in Scripture, his reading in the history of the Church and his pastoral concern for the men and women who lead God’s people today.</w:t>
      </w:r>
    </w:p>
    <w:p>
      <w:pPr>
        <w:spacing w:before="480" w:after="0" w:line="360"/>
        <w:jc w:val="center"/>
      </w:pPr>
      <w:r>
        <w:rPr>
          <w:color w:val="A67C1A"/>
          <w:sz w:val="32"/>
          <w:szCs w:val="32"/>
        </w:rPr>
        <w:t xml:space="preserve">❦</w:t>
      </w:r>
    </w:p>
    <w:sectPr>
      <w:headerReference w:type="default" r:id="rId148"/>
      <w:headerReference w:type="first" r:id="rId149"/>
      <w:footerReference w:type="default" r:id="rId150"/>
      <w:footerReference w:type="first" r:id="rId151"/>
      <w:type w:val="nextPage"/>
      <w:pgSz w:w="8640" w:h="12960" w:orient="portrait"/>
      <w:pgMar w:top="1080" w:right="936" w:bottom="1008" w:left="1008" w:header="560" w:footer="520" w:gutter="0"/>
      <w:pgNumType w:fmt="decimal"/>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color w:val="A67C1A"/>
        <w:spacing w:val="30"/>
        <w:sz w:val="15"/>
        <w:szCs w:val="15"/>
      </w:rPr>
      <w:t xml:space="preserve">PREFACE</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color w:val="A67C1A"/>
        <w:spacing w:val="30"/>
        <w:sz w:val="15"/>
        <w:szCs w:val="15"/>
      </w:rPr>
      <w:t xml:space="preserve">INTRODUCTION</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color w:val="A67C1A"/>
        <w:spacing w:val="30"/>
        <w:sz w:val="15"/>
        <w:szCs w:val="15"/>
      </w:rPr>
      <w:t xml:space="preserve">WHY LEADERS FALL</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color w:val="A67C1A"/>
        <w:spacing w:val="30"/>
        <w:sz w:val="15"/>
        <w:szCs w:val="15"/>
      </w:rPr>
      <w:t xml:space="preserve">POWER IN THE SHADOW OF ROME</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color w:val="A67C1A"/>
        <w:spacing w:val="30"/>
        <w:sz w:val="15"/>
        <w:szCs w:val="15"/>
      </w:rPr>
      <w:t xml:space="preserve">PRIDE</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color w:val="A67C1A"/>
        <w:spacing w:val="30"/>
        <w:sz w:val="15"/>
        <w:szCs w:val="15"/>
      </w:rPr>
      <w:t xml:space="preserve">GREED</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color w:val="A67C1A"/>
        <w:spacing w:val="30"/>
        <w:sz w:val="15"/>
        <w:szCs w:val="15"/>
      </w:rPr>
      <w:t xml:space="preserve">SEXUAL IMMORALITY</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color w:val="A67C1A"/>
        <w:spacing w:val="30"/>
        <w:sz w:val="15"/>
        <w:szCs w:val="15"/>
      </w:rPr>
      <w:t xml:space="preserve">ABUSE OF POWER</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color w:val="A67C1A"/>
        <w:spacing w:val="30"/>
        <w:sz w:val="15"/>
        <w:szCs w:val="15"/>
      </w:rPr>
      <w:t xml:space="preserve">JEALOUSY AND INSECURITY</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color w:val="A67C1A"/>
        <w:spacing w:val="30"/>
        <w:sz w:val="15"/>
        <w:szCs w:val="15"/>
      </w:rPr>
      <w:t xml:space="preserve">THE FEAR OF PEOPLE</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color w:val="A67C1A"/>
        <w:spacing w:val="30"/>
        <w:sz w:val="15"/>
        <w:szCs w:val="15"/>
      </w:rPr>
      <w:t xml:space="preserve">ANGER AND THE UNGUARDED TONGUE</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color w:val="A67C1A"/>
        <w:spacing w:val="30"/>
        <w:sz w:val="15"/>
        <w:szCs w:val="15"/>
      </w:rPr>
      <w:t xml:space="preserve">PRESUMPTION AND PARTIAL OBEDIENCE</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color w:val="A67C1A"/>
        <w:spacing w:val="30"/>
        <w:sz w:val="15"/>
        <w:szCs w:val="15"/>
      </w:rPr>
      <w:t xml:space="preserve">ISOLATION AND BURNOUT</w: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color w:val="A67C1A"/>
        <w:spacing w:val="30"/>
        <w:sz w:val="15"/>
        <w:szCs w:val="15"/>
      </w:rPr>
      <w:t xml:space="preserve">NEGLECT OF FAMILY AND FAILURE OF SUCCESSION</w: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color w:val="A67C1A"/>
        <w:spacing w:val="30"/>
        <w:sz w:val="15"/>
        <w:szCs w:val="15"/>
      </w:rPr>
      <w:t xml:space="preserve">FINISHING BADLY</w: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color w:val="A67C1A"/>
        <w:spacing w:val="30"/>
        <w:sz w:val="15"/>
        <w:szCs w:val="15"/>
      </w:rPr>
      <w:t xml:space="preserve">THE EARLY CHURCH FATHERS ON THE PERILS OF OFFICE</w: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color w:val="A67C1A"/>
        <w:spacing w:val="30"/>
        <w:sz w:val="15"/>
        <w:szCs w:val="15"/>
      </w:rPr>
      <w:t xml:space="preserve">WHEN CAESAR BECAME A PATRON</w: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color w:val="A67C1A"/>
        <w:spacing w:val="30"/>
        <w:sz w:val="15"/>
        <w:szCs w:val="15"/>
      </w:rPr>
      <w:t xml:space="preserve">CONTEMPORARY CHURCH LEADERS</w: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color w:val="A67C1A"/>
        <w:spacing w:val="30"/>
        <w:sz w:val="15"/>
        <w:szCs w:val="15"/>
      </w:rPr>
      <w:t xml:space="preserve">CONTEMPORARY IMPLICATIONS FOR AFRICA AND NIGERIA</w:t>
    </w: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color w:val="A67C1A"/>
        <w:spacing w:val="30"/>
        <w:sz w:val="15"/>
        <w:szCs w:val="15"/>
      </w:rPr>
      <w:t xml:space="preserve">SAFEGUARDS</w:t>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color w:val="A67C1A"/>
        <w:spacing w:val="30"/>
        <w:sz w:val="15"/>
        <w:szCs w:val="15"/>
      </w:rPr>
      <w:t xml:space="preserve">MAXIMS FOR LEADERS</w:t>
    </w: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color w:val="A67C1A"/>
        <w:spacing w:val="30"/>
        <w:sz w:val="15"/>
        <w:szCs w:val="15"/>
      </w:rPr>
      <w:t xml:space="preserve">FINISHING WELL</w:t>
    </w: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color w:val="A67C1A"/>
        <w:spacing w:val="30"/>
        <w:sz w:val="15"/>
        <w:szCs w:val="15"/>
      </w:rPr>
      <w:t xml:space="preserve">ENDNOTES</w:t>
    </w: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color w:val="A67C1A"/>
        <w:spacing w:val="30"/>
        <w:sz w:val="15"/>
        <w:szCs w:val="15"/>
      </w:rPr>
      <w:t xml:space="preserve">SELECT BIBLIOGRAPHY</w:t>
    </w: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color w:val="A67C1A"/>
        <w:spacing w:val="30"/>
        <w:sz w:val="15"/>
        <w:szCs w:val="15"/>
      </w:rPr>
      <w:t xml:space="preserve">ACKNOWLEDGEMENTS</w:t>
    </w: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color w:val="A67C1A"/>
        <w:spacing w:val="30"/>
        <w:sz w:val="15"/>
        <w:szCs w:val="15"/>
      </w:rPr>
      <w:t xml:space="preserve">ABOUT THIS BOOK</w:t>
    </w: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color w:val="A67C1A"/>
        <w:spacing w:val="30"/>
        <w:sz w:val="15"/>
        <w:szCs w:val="15"/>
      </w:rPr>
      <w:t xml:space="preserve">RECOMMENDED BOOKS</w:t>
    </w:r>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color w:val="A67C1A"/>
        <w:spacing w:val="30"/>
        <w:sz w:val="15"/>
        <w:szCs w:val="15"/>
      </w:rPr>
      <w:t xml:space="preserve">ABOUT THE AUTHOR</w:t>
    </w: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2" w:hanging="288"/>
      </w:pPr>
      <w:rPr>
        <w:color w:val="A67C1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3"/>
        <w:szCs w:val="23"/>
      </w:rPr>
    </w:rPrDefault>
    <w:pPrDefault/>
  </w:docDefaults>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Body">
    <w:name w:val="Body"/>
    <w:basedOn w:val="Normal"/>
    <w:pPr>
      <w:spacing w:after="0" w:line="312"/>
      <w:ind w:firstLine="288"/>
      <w:jc w:val="both"/>
    </w:pPr>
    <w:rPr>
      <w:rFonts w:ascii="Times New Roman" w:cs="Times New Roman" w:eastAsia="Times New Roman" w:hAnsi="Times New Roman"/>
      <w:sz w:val="23"/>
      <w:szCs w:val="23"/>
    </w:rPr>
  </w:style>
  <w:style w:type="paragraph" w:styleId="BodyFirst">
    <w:name w:val="Body First"/>
    <w:basedOn w:val="Body"/>
    <w:pPr>
      <w:ind w:firstLine="0"/>
    </w:pPr>
  </w:style>
  <w:style w:type="paragraph" w:styleId="Quote">
    <w:name w:val="Block Quote"/>
    <w:basedOn w:val="Normal"/>
    <w:pPr>
      <w:spacing w:after="40" w:before="160" w:line="276"/>
      <w:ind w:left="576" w:right="576"/>
      <w:jc w:val="both"/>
    </w:pPr>
    <w:rPr>
      <w:rFonts w:ascii="Times New Roman" w:cs="Times New Roman" w:eastAsia="Times New Roman" w:hAnsi="Times New Roman"/>
      <w:i/>
      <w:iCs/>
      <w:sz w:val="21"/>
      <w:szCs w:val="21"/>
    </w:rPr>
  </w:style>
  <w:style w:type="paragraph" w:styleId="Heading1">
    <w:name w:val="Heading 1"/>
    <w:basedOn w:val="Normal"/>
    <w:next w:val="Normal"/>
    <w:qFormat/>
    <w:pPr>
      <w:spacing w:after="120" w:line="348" w:lineRule="auto"/>
      <w:ind w:left="360" w:right="360"/>
      <w:jc w:val="center"/>
      <w:outlineLvl w:val="0"/>
    </w:pPr>
    <w:rPr>
      <w:rFonts w:ascii="Times New Roman" w:cs="Times New Roman" w:eastAsia="Times New Roman" w:hAnsi="Times New Roman"/>
      <w:color w:val="1F3864"/>
      <w:sz w:val="38"/>
      <w:szCs w:val="38"/>
    </w:rPr>
  </w:style>
  <w:style w:type="paragraph" w:styleId="Heading2">
    <w:name w:val="Heading 2"/>
    <w:basedOn w:val="Normal"/>
    <w:next w:val="Normal"/>
    <w:qFormat/>
    <w:pPr>
      <w:keepNext/>
      <w:keepLines/>
      <w:spacing w:after="110" w:before="300"/>
      <w:outlineLvl w:val="1"/>
    </w:pPr>
    <w:rPr>
      <w:rFonts w:ascii="Times New Roman" w:cs="Times New Roman" w:eastAsia="Times New Roman" w:hAnsi="Times New Roman"/>
      <w:b/>
      <w:bCs/>
      <w:color w:val="1F386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header" Target="header6.xml"/><Relationship Id="rId17" Type="http://schemas.openxmlformats.org/officeDocument/2006/relationships/footer" Target="footer5.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header" Target="header8.xml"/><Relationship Id="rId21" Type="http://schemas.openxmlformats.org/officeDocument/2006/relationships/footer" Target="footer7.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header" Target="header10.xml"/><Relationship Id="rId25" Type="http://schemas.openxmlformats.org/officeDocument/2006/relationships/footer" Target="footer9.xml"/><Relationship Id="rId26" Type="http://schemas.openxmlformats.org/officeDocument/2006/relationships/footer" Target="footer10.xml"/><Relationship Id="rId27" Type="http://schemas.openxmlformats.org/officeDocument/2006/relationships/header" Target="header11.xml"/><Relationship Id="rId28" Type="http://schemas.openxmlformats.org/officeDocument/2006/relationships/header" Target="header12.xml"/><Relationship Id="rId29" Type="http://schemas.openxmlformats.org/officeDocument/2006/relationships/footer" Target="footer11.xml"/><Relationship Id="rId30" Type="http://schemas.openxmlformats.org/officeDocument/2006/relationships/footer" Target="footer12.xml"/><Relationship Id="rId31" Type="http://schemas.openxmlformats.org/officeDocument/2006/relationships/header" Target="header13.xml"/><Relationship Id="rId32" Type="http://schemas.openxmlformats.org/officeDocument/2006/relationships/header" Target="header14.xml"/><Relationship Id="rId33" Type="http://schemas.openxmlformats.org/officeDocument/2006/relationships/footer" Target="footer13.xml"/><Relationship Id="rId34" Type="http://schemas.openxmlformats.org/officeDocument/2006/relationships/footer" Target="footer14.xml"/><Relationship Id="rId35" Type="http://schemas.openxmlformats.org/officeDocument/2006/relationships/header" Target="header15.xml"/><Relationship Id="rId36" Type="http://schemas.openxmlformats.org/officeDocument/2006/relationships/header" Target="header16.xml"/><Relationship Id="rId37" Type="http://schemas.openxmlformats.org/officeDocument/2006/relationships/footer" Target="footer15.xml"/><Relationship Id="rId38" Type="http://schemas.openxmlformats.org/officeDocument/2006/relationships/footer" Target="footer16.xml"/><Relationship Id="rId39" Type="http://schemas.openxmlformats.org/officeDocument/2006/relationships/header" Target="header17.xml"/><Relationship Id="rId40" Type="http://schemas.openxmlformats.org/officeDocument/2006/relationships/header" Target="header18.xml"/><Relationship Id="rId41" Type="http://schemas.openxmlformats.org/officeDocument/2006/relationships/footer" Target="footer17.xml"/><Relationship Id="rId42" Type="http://schemas.openxmlformats.org/officeDocument/2006/relationships/footer" Target="footer18.xml"/><Relationship Id="rId43" Type="http://schemas.openxmlformats.org/officeDocument/2006/relationships/header" Target="header19.xml"/><Relationship Id="rId44" Type="http://schemas.openxmlformats.org/officeDocument/2006/relationships/header" Target="header20.xml"/><Relationship Id="rId45" Type="http://schemas.openxmlformats.org/officeDocument/2006/relationships/footer" Target="footer19.xml"/><Relationship Id="rId46" Type="http://schemas.openxmlformats.org/officeDocument/2006/relationships/footer" Target="footer20.xml"/><Relationship Id="rId47" Type="http://schemas.openxmlformats.org/officeDocument/2006/relationships/header" Target="header21.xml"/><Relationship Id="rId48" Type="http://schemas.openxmlformats.org/officeDocument/2006/relationships/header" Target="header22.xml"/><Relationship Id="rId49" Type="http://schemas.openxmlformats.org/officeDocument/2006/relationships/footer" Target="footer21.xml"/><Relationship Id="rId50" Type="http://schemas.openxmlformats.org/officeDocument/2006/relationships/footer" Target="footer22.xml"/><Relationship Id="rId51" Type="http://schemas.openxmlformats.org/officeDocument/2006/relationships/header" Target="header23.xml"/><Relationship Id="rId52" Type="http://schemas.openxmlformats.org/officeDocument/2006/relationships/header" Target="header24.xml"/><Relationship Id="rId53" Type="http://schemas.openxmlformats.org/officeDocument/2006/relationships/footer" Target="footer23.xml"/><Relationship Id="rId54" Type="http://schemas.openxmlformats.org/officeDocument/2006/relationships/footer" Target="footer24.xml"/><Relationship Id="rId55" Type="http://schemas.openxmlformats.org/officeDocument/2006/relationships/header" Target="header25.xml"/><Relationship Id="rId56" Type="http://schemas.openxmlformats.org/officeDocument/2006/relationships/header" Target="header26.xml"/><Relationship Id="rId57" Type="http://schemas.openxmlformats.org/officeDocument/2006/relationships/footer" Target="footer25.xml"/><Relationship Id="rId58" Type="http://schemas.openxmlformats.org/officeDocument/2006/relationships/footer" Target="footer26.xml"/><Relationship Id="rId59" Type="http://schemas.openxmlformats.org/officeDocument/2006/relationships/header" Target="header27.xml"/><Relationship Id="rId60" Type="http://schemas.openxmlformats.org/officeDocument/2006/relationships/header" Target="header28.xml"/><Relationship Id="rId61" Type="http://schemas.openxmlformats.org/officeDocument/2006/relationships/footer" Target="footer27.xml"/><Relationship Id="rId62" Type="http://schemas.openxmlformats.org/officeDocument/2006/relationships/footer" Target="footer28.xml"/><Relationship Id="rId63" Type="http://schemas.openxmlformats.org/officeDocument/2006/relationships/header" Target="header29.xml"/><Relationship Id="rId64" Type="http://schemas.openxmlformats.org/officeDocument/2006/relationships/header" Target="header30.xml"/><Relationship Id="rId65" Type="http://schemas.openxmlformats.org/officeDocument/2006/relationships/footer" Target="footer29.xml"/><Relationship Id="rId66" Type="http://schemas.openxmlformats.org/officeDocument/2006/relationships/footer" Target="footer30.xml"/><Relationship Id="rId67" Type="http://schemas.openxmlformats.org/officeDocument/2006/relationships/header" Target="header31.xml"/><Relationship Id="rId68" Type="http://schemas.openxmlformats.org/officeDocument/2006/relationships/header" Target="header32.xml"/><Relationship Id="rId69" Type="http://schemas.openxmlformats.org/officeDocument/2006/relationships/footer" Target="footer31.xml"/><Relationship Id="rId70" Type="http://schemas.openxmlformats.org/officeDocument/2006/relationships/footer" Target="footer32.xml"/><Relationship Id="rId71" Type="http://schemas.openxmlformats.org/officeDocument/2006/relationships/header" Target="header33.xml"/><Relationship Id="rId72" Type="http://schemas.openxmlformats.org/officeDocument/2006/relationships/header" Target="header34.xml"/><Relationship Id="rId73" Type="http://schemas.openxmlformats.org/officeDocument/2006/relationships/footer" Target="footer33.xml"/><Relationship Id="rId74" Type="http://schemas.openxmlformats.org/officeDocument/2006/relationships/footer" Target="footer34.xml"/><Relationship Id="rId75" Type="http://schemas.openxmlformats.org/officeDocument/2006/relationships/header" Target="header35.xml"/><Relationship Id="rId76" Type="http://schemas.openxmlformats.org/officeDocument/2006/relationships/header" Target="header36.xml"/><Relationship Id="rId77" Type="http://schemas.openxmlformats.org/officeDocument/2006/relationships/footer" Target="footer35.xml"/><Relationship Id="rId78" Type="http://schemas.openxmlformats.org/officeDocument/2006/relationships/footer" Target="footer36.xml"/><Relationship Id="rId79" Type="http://schemas.openxmlformats.org/officeDocument/2006/relationships/header" Target="header37.xml"/><Relationship Id="rId80" Type="http://schemas.openxmlformats.org/officeDocument/2006/relationships/header" Target="header38.xml"/><Relationship Id="rId81" Type="http://schemas.openxmlformats.org/officeDocument/2006/relationships/footer" Target="footer37.xml"/><Relationship Id="rId82" Type="http://schemas.openxmlformats.org/officeDocument/2006/relationships/footer" Target="footer38.xml"/><Relationship Id="rId83" Type="http://schemas.openxmlformats.org/officeDocument/2006/relationships/header" Target="header39.xml"/><Relationship Id="rId84" Type="http://schemas.openxmlformats.org/officeDocument/2006/relationships/header" Target="header40.xml"/><Relationship Id="rId85" Type="http://schemas.openxmlformats.org/officeDocument/2006/relationships/footer" Target="footer39.xml"/><Relationship Id="rId86" Type="http://schemas.openxmlformats.org/officeDocument/2006/relationships/footer" Target="footer40.xml"/><Relationship Id="rId87" Type="http://schemas.openxmlformats.org/officeDocument/2006/relationships/header" Target="header41.xml"/><Relationship Id="rId88" Type="http://schemas.openxmlformats.org/officeDocument/2006/relationships/header" Target="header42.xml"/><Relationship Id="rId89" Type="http://schemas.openxmlformats.org/officeDocument/2006/relationships/footer" Target="footer41.xml"/><Relationship Id="rId90" Type="http://schemas.openxmlformats.org/officeDocument/2006/relationships/footer" Target="footer42.xml"/><Relationship Id="rId91" Type="http://schemas.openxmlformats.org/officeDocument/2006/relationships/header" Target="header43.xml"/><Relationship Id="rId92" Type="http://schemas.openxmlformats.org/officeDocument/2006/relationships/header" Target="header44.xml"/><Relationship Id="rId93" Type="http://schemas.openxmlformats.org/officeDocument/2006/relationships/footer" Target="footer43.xml"/><Relationship Id="rId94" Type="http://schemas.openxmlformats.org/officeDocument/2006/relationships/footer" Target="footer44.xml"/><Relationship Id="rId95" Type="http://schemas.openxmlformats.org/officeDocument/2006/relationships/header" Target="header45.xml"/><Relationship Id="rId96" Type="http://schemas.openxmlformats.org/officeDocument/2006/relationships/header" Target="header46.xml"/><Relationship Id="rId97" Type="http://schemas.openxmlformats.org/officeDocument/2006/relationships/footer" Target="footer45.xml"/><Relationship Id="rId98" Type="http://schemas.openxmlformats.org/officeDocument/2006/relationships/footer" Target="footer46.xml"/><Relationship Id="rId99" Type="http://schemas.openxmlformats.org/officeDocument/2006/relationships/header" Target="header47.xml"/><Relationship Id="rId100" Type="http://schemas.openxmlformats.org/officeDocument/2006/relationships/header" Target="header48.xml"/><Relationship Id="rId101" Type="http://schemas.openxmlformats.org/officeDocument/2006/relationships/footer" Target="footer47.xml"/><Relationship Id="rId102" Type="http://schemas.openxmlformats.org/officeDocument/2006/relationships/footer" Target="footer48.xml"/><Relationship Id="rId103" Type="http://schemas.openxmlformats.org/officeDocument/2006/relationships/header" Target="header49.xml"/><Relationship Id="rId104" Type="http://schemas.openxmlformats.org/officeDocument/2006/relationships/header" Target="header50.xml"/><Relationship Id="rId105" Type="http://schemas.openxmlformats.org/officeDocument/2006/relationships/footer" Target="footer49.xml"/><Relationship Id="rId106" Type="http://schemas.openxmlformats.org/officeDocument/2006/relationships/footer" Target="footer50.xml"/><Relationship Id="rId107" Type="http://schemas.openxmlformats.org/officeDocument/2006/relationships/header" Target="header51.xml"/><Relationship Id="rId108" Type="http://schemas.openxmlformats.org/officeDocument/2006/relationships/header" Target="header52.xml"/><Relationship Id="rId109" Type="http://schemas.openxmlformats.org/officeDocument/2006/relationships/footer" Target="footer51.xml"/><Relationship Id="rId110" Type="http://schemas.openxmlformats.org/officeDocument/2006/relationships/footer" Target="footer52.xml"/><Relationship Id="rId111" Type="http://schemas.openxmlformats.org/officeDocument/2006/relationships/header" Target="header53.xml"/><Relationship Id="rId112" Type="http://schemas.openxmlformats.org/officeDocument/2006/relationships/header" Target="header54.xml"/><Relationship Id="rId113" Type="http://schemas.openxmlformats.org/officeDocument/2006/relationships/footer" Target="footer53.xml"/><Relationship Id="rId114" Type="http://schemas.openxmlformats.org/officeDocument/2006/relationships/footer" Target="footer54.xml"/><Relationship Id="rId115" Type="http://schemas.openxmlformats.org/officeDocument/2006/relationships/header" Target="header55.xml"/><Relationship Id="rId116" Type="http://schemas.openxmlformats.org/officeDocument/2006/relationships/header" Target="header56.xml"/><Relationship Id="rId117" Type="http://schemas.openxmlformats.org/officeDocument/2006/relationships/footer" Target="footer55.xml"/><Relationship Id="rId118" Type="http://schemas.openxmlformats.org/officeDocument/2006/relationships/footer" Target="footer56.xml"/><Relationship Id="rId119" Type="http://schemas.openxmlformats.org/officeDocument/2006/relationships/header" Target="header57.xml"/><Relationship Id="rId120" Type="http://schemas.openxmlformats.org/officeDocument/2006/relationships/header" Target="header58.xml"/><Relationship Id="rId121" Type="http://schemas.openxmlformats.org/officeDocument/2006/relationships/footer" Target="footer57.xml"/><Relationship Id="rId122" Type="http://schemas.openxmlformats.org/officeDocument/2006/relationships/footer" Target="footer58.xml"/><Relationship Id="rId123" Type="http://schemas.openxmlformats.org/officeDocument/2006/relationships/header" Target="header59.xml"/><Relationship Id="rId124" Type="http://schemas.openxmlformats.org/officeDocument/2006/relationships/header" Target="header60.xml"/><Relationship Id="rId125" Type="http://schemas.openxmlformats.org/officeDocument/2006/relationships/footer" Target="footer59.xml"/><Relationship Id="rId126" Type="http://schemas.openxmlformats.org/officeDocument/2006/relationships/footer" Target="footer60.xml"/><Relationship Id="rId127" Type="http://schemas.openxmlformats.org/officeDocument/2006/relationships/header" Target="header61.xml"/><Relationship Id="rId128" Type="http://schemas.openxmlformats.org/officeDocument/2006/relationships/header" Target="header62.xml"/><Relationship Id="rId129" Type="http://schemas.openxmlformats.org/officeDocument/2006/relationships/footer" Target="footer61.xml"/><Relationship Id="rId130" Type="http://schemas.openxmlformats.org/officeDocument/2006/relationships/footer" Target="footer62.xml"/><Relationship Id="rId131" Type="http://schemas.openxmlformats.org/officeDocument/2006/relationships/fontTable" Target="fontTable.xml"/><Relationship Id="rId132" Type="http://schemas.openxmlformats.org/officeDocument/2006/relationships/header" Target="header63.xml"/><Relationship Id="rId133" Type="http://schemas.openxmlformats.org/officeDocument/2006/relationships/header" Target="header64.xml"/><Relationship Id="rId134" Type="http://schemas.openxmlformats.org/officeDocument/2006/relationships/footer" Target="footer63.xml"/><Relationship Id="rId135" Type="http://schemas.openxmlformats.org/officeDocument/2006/relationships/footer" Target="footer64.xml"/><Relationship Id="rId136" Type="http://schemas.openxmlformats.org/officeDocument/2006/relationships/header" Target="header65.xml"/><Relationship Id="rId137" Type="http://schemas.openxmlformats.org/officeDocument/2006/relationships/header" Target="header66.xml"/><Relationship Id="rId138" Type="http://schemas.openxmlformats.org/officeDocument/2006/relationships/footer" Target="footer65.xml"/><Relationship Id="rId139" Type="http://schemas.openxmlformats.org/officeDocument/2006/relationships/footer" Target="footer66.xml"/><Relationship Id="rId140" Type="http://schemas.openxmlformats.org/officeDocument/2006/relationships/header" Target="header67.xml"/><Relationship Id="rId141" Type="http://schemas.openxmlformats.org/officeDocument/2006/relationships/header" Target="header68.xml"/><Relationship Id="rId142" Type="http://schemas.openxmlformats.org/officeDocument/2006/relationships/footer" Target="footer67.xml"/><Relationship Id="rId143" Type="http://schemas.openxmlformats.org/officeDocument/2006/relationships/footer" Target="footer68.xml"/><Relationship Id="rId144" Type="http://schemas.openxmlformats.org/officeDocument/2006/relationships/header" Target="header69.xml"/><Relationship Id="rId145" Type="http://schemas.openxmlformats.org/officeDocument/2006/relationships/header" Target="header70.xml"/><Relationship Id="rId146" Type="http://schemas.openxmlformats.org/officeDocument/2006/relationships/footer" Target="footer69.xml"/><Relationship Id="rId147" Type="http://schemas.openxmlformats.org/officeDocument/2006/relationships/footer" Target="footer70.xml"/><Relationship Id="rId148" Type="http://schemas.openxmlformats.org/officeDocument/2006/relationships/header" Target="header71.xml"/><Relationship Id="rId149" Type="http://schemas.openxmlformats.org/officeDocument/2006/relationships/header" Target="header72.xml"/><Relationship Id="rId150" Type="http://schemas.openxmlformats.org/officeDocument/2006/relationships/footer" Target="footer71.xml"/><Relationship Id="rId151" Type="http://schemas.openxmlformats.org/officeDocument/2006/relationships/footer" Target="footer72.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er18.xml.rels><?xml version="1.0" encoding="UTF-8"?><Relationships xmlns="http://schemas.openxmlformats.org/package/2006/relationships"/>
</file>

<file path=word/_rels/footer19.xml.rels><?xml version="1.0" encoding="UTF-8"?><Relationships xmlns="http://schemas.openxmlformats.org/package/2006/relationships"/>
</file>

<file path=word/_rels/footer20.xml.rels><?xml version="1.0" encoding="UTF-8"?><Relationships xmlns="http://schemas.openxmlformats.org/package/2006/relationships"/>
</file>

<file path=word/_rels/footer21.xml.rels><?xml version="1.0" encoding="UTF-8"?><Relationships xmlns="http://schemas.openxmlformats.org/package/2006/relationships"/>
</file>

<file path=word/_rels/footer22.xml.rels><?xml version="1.0" encoding="UTF-8"?><Relationships xmlns="http://schemas.openxmlformats.org/package/2006/relationships"/>
</file>

<file path=word/_rels/footer23.xml.rels><?xml version="1.0" encoding="UTF-8"?><Relationships xmlns="http://schemas.openxmlformats.org/package/2006/relationships"/>
</file>

<file path=word/_rels/footer24.xml.rels><?xml version="1.0" encoding="UTF-8"?><Relationships xmlns="http://schemas.openxmlformats.org/package/2006/relationships"/>
</file>

<file path=word/_rels/footer25.xml.rels><?xml version="1.0" encoding="UTF-8"?><Relationships xmlns="http://schemas.openxmlformats.org/package/2006/relationships"/>
</file>

<file path=word/_rels/footer26.xml.rels><?xml version="1.0" encoding="UTF-8"?><Relationships xmlns="http://schemas.openxmlformats.org/package/2006/relationships"/>
</file>

<file path=word/_rels/footer27.xml.rels><?xml version="1.0" encoding="UTF-8"?><Relationships xmlns="http://schemas.openxmlformats.org/package/2006/relationships"/>
</file>

<file path=word/_rels/footer28.xml.rels><?xml version="1.0" encoding="UTF-8"?><Relationships xmlns="http://schemas.openxmlformats.org/package/2006/relationships"/>
</file>

<file path=word/_rels/footer29.xml.rels><?xml version="1.0" encoding="UTF-8"?><Relationships xmlns="http://schemas.openxmlformats.org/package/2006/relationships"/>
</file>

<file path=word/_rels/footer30.xml.rels><?xml version="1.0" encoding="UTF-8"?><Relationships xmlns="http://schemas.openxmlformats.org/package/2006/relationships"/>
</file>

<file path=word/_rels/footer31.xml.rels><?xml version="1.0" encoding="UTF-8"?><Relationships xmlns="http://schemas.openxmlformats.org/package/2006/relationships"/>
</file>

<file path=word/_rels/footer32.xml.rels><?xml version="1.0" encoding="UTF-8"?><Relationships xmlns="http://schemas.openxmlformats.org/package/2006/relationships"/>
</file>

<file path=word/_rels/footer33.xml.rels><?xml version="1.0" encoding="UTF-8"?><Relationships xmlns="http://schemas.openxmlformats.org/package/2006/relationships"/>
</file>

<file path=word/_rels/footer34.xml.rels><?xml version="1.0" encoding="UTF-8"?><Relationships xmlns="http://schemas.openxmlformats.org/package/2006/relationships"/>
</file>

<file path=word/_rels/footer35.xml.rels><?xml version="1.0" encoding="UTF-8"?><Relationships xmlns="http://schemas.openxmlformats.org/package/2006/relationships"/>
</file>

<file path=word/_rels/footer36.xml.rels><?xml version="1.0" encoding="UTF-8"?><Relationships xmlns="http://schemas.openxmlformats.org/package/2006/relationships"/>
</file>

<file path=word/_rels/footer37.xml.rels><?xml version="1.0" encoding="UTF-8"?><Relationships xmlns="http://schemas.openxmlformats.org/package/2006/relationships"/>
</file>

<file path=word/_rels/footer38.xml.rels><?xml version="1.0" encoding="UTF-8"?><Relationships xmlns="http://schemas.openxmlformats.org/package/2006/relationships"/>
</file>

<file path=word/_rels/footer39.xml.rels><?xml version="1.0" encoding="UTF-8"?><Relationships xmlns="http://schemas.openxmlformats.org/package/2006/relationships"/>
</file>

<file path=word/_rels/footer40.xml.rels><?xml version="1.0" encoding="UTF-8"?><Relationships xmlns="http://schemas.openxmlformats.org/package/2006/relationships"/>
</file>

<file path=word/_rels/footer41.xml.rels><?xml version="1.0" encoding="UTF-8"?><Relationships xmlns="http://schemas.openxmlformats.org/package/2006/relationships"/>
</file>

<file path=word/_rels/footer42.xml.rels><?xml version="1.0" encoding="UTF-8"?><Relationships xmlns="http://schemas.openxmlformats.org/package/2006/relationships"/>
</file>

<file path=word/_rels/footer43.xml.rels><?xml version="1.0" encoding="UTF-8"?><Relationships xmlns="http://schemas.openxmlformats.org/package/2006/relationships"/>
</file>

<file path=word/_rels/footer44.xml.rels><?xml version="1.0" encoding="UTF-8"?><Relationships xmlns="http://schemas.openxmlformats.org/package/2006/relationships"/>
</file>

<file path=word/_rels/footer45.xml.rels><?xml version="1.0" encoding="UTF-8"?><Relationships xmlns="http://schemas.openxmlformats.org/package/2006/relationships"/>
</file>

<file path=word/_rels/footer46.xml.rels><?xml version="1.0" encoding="UTF-8"?><Relationships xmlns="http://schemas.openxmlformats.org/package/2006/relationships"/>
</file>

<file path=word/_rels/footer47.xml.rels><?xml version="1.0" encoding="UTF-8"?><Relationships xmlns="http://schemas.openxmlformats.org/package/2006/relationships"/>
</file>

<file path=word/_rels/footer48.xml.rels><?xml version="1.0" encoding="UTF-8"?><Relationships xmlns="http://schemas.openxmlformats.org/package/2006/relationships"/>
</file>

<file path=word/_rels/footer49.xml.rels><?xml version="1.0" encoding="UTF-8"?><Relationships xmlns="http://schemas.openxmlformats.org/package/2006/relationships"/>
</file>

<file path=word/_rels/footer50.xml.rels><?xml version="1.0" encoding="UTF-8"?><Relationships xmlns="http://schemas.openxmlformats.org/package/2006/relationships"/>
</file>

<file path=word/_rels/footer51.xml.rels><?xml version="1.0" encoding="UTF-8"?><Relationships xmlns="http://schemas.openxmlformats.org/package/2006/relationships"/>
</file>

<file path=word/_rels/footer52.xml.rels><?xml version="1.0" encoding="UTF-8"?><Relationships xmlns="http://schemas.openxmlformats.org/package/2006/relationships"/>
</file>

<file path=word/_rels/footer53.xml.rels><?xml version="1.0" encoding="UTF-8"?><Relationships xmlns="http://schemas.openxmlformats.org/package/2006/relationships"/>
</file>

<file path=word/_rels/footer54.xml.rels><?xml version="1.0" encoding="UTF-8"?><Relationships xmlns="http://schemas.openxmlformats.org/package/2006/relationships"/>
</file>

<file path=word/_rels/footer55.xml.rels><?xml version="1.0" encoding="UTF-8"?><Relationships xmlns="http://schemas.openxmlformats.org/package/2006/relationships"/>
</file>

<file path=word/_rels/footer56.xml.rels><?xml version="1.0" encoding="UTF-8"?><Relationships xmlns="http://schemas.openxmlformats.org/package/2006/relationships"/>
</file>

<file path=word/_rels/footer57.xml.rels><?xml version="1.0" encoding="UTF-8"?><Relationships xmlns="http://schemas.openxmlformats.org/package/2006/relationships"/>
</file>

<file path=word/_rels/footer58.xml.rels><?xml version="1.0" encoding="UTF-8"?><Relationships xmlns="http://schemas.openxmlformats.org/package/2006/relationships"/>
</file>

<file path=word/_rels/footer59.xml.rels><?xml version="1.0" encoding="UTF-8"?><Relationships xmlns="http://schemas.openxmlformats.org/package/2006/relationships"/>
</file>

<file path=word/_rels/footer60.xml.rels><?xml version="1.0" encoding="UTF-8"?><Relationships xmlns="http://schemas.openxmlformats.org/package/2006/relationships"/>
</file>

<file path=word/_rels/footer61.xml.rels><?xml version="1.0" encoding="UTF-8"?><Relationships xmlns="http://schemas.openxmlformats.org/package/2006/relationships"/>
</file>

<file path=word/_rels/footer6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_rels/header15.xml.rels><?xml version="1.0" encoding="UTF-8"?><Relationships xmlns="http://schemas.openxmlformats.org/package/2006/relationships"/>
</file>

<file path=word/_rels/header16.xml.rels><?xml version="1.0" encoding="UTF-8"?><Relationships xmlns="http://schemas.openxmlformats.org/package/2006/relationships"/>
</file>

<file path=word/_rels/header17.xml.rels><?xml version="1.0" encoding="UTF-8"?><Relationships xmlns="http://schemas.openxmlformats.org/package/2006/relationships"/>
</file>

<file path=word/_rels/header18.xml.rels><?xml version="1.0" encoding="UTF-8"?><Relationships xmlns="http://schemas.openxmlformats.org/package/2006/relationships"/>
</file>

<file path=word/_rels/header19.xml.rels><?xml version="1.0" encoding="UTF-8"?><Relationships xmlns="http://schemas.openxmlformats.org/package/2006/relationships"/>
</file>

<file path=word/_rels/header20.xml.rels><?xml version="1.0" encoding="UTF-8"?><Relationships xmlns="http://schemas.openxmlformats.org/package/2006/relationships"/>
</file>

<file path=word/_rels/header21.xml.rels><?xml version="1.0" encoding="UTF-8"?><Relationships xmlns="http://schemas.openxmlformats.org/package/2006/relationships"/>
</file>

<file path=word/_rels/header22.xml.rels><?xml version="1.0" encoding="UTF-8"?><Relationships xmlns="http://schemas.openxmlformats.org/package/2006/relationships"/>
</file>

<file path=word/_rels/header23.xml.rels><?xml version="1.0" encoding="UTF-8"?><Relationships xmlns="http://schemas.openxmlformats.org/package/2006/relationships"/>
</file>

<file path=word/_rels/header24.xml.rels><?xml version="1.0" encoding="UTF-8"?><Relationships xmlns="http://schemas.openxmlformats.org/package/2006/relationships"/>
</file>

<file path=word/_rels/header25.xml.rels><?xml version="1.0" encoding="UTF-8"?><Relationships xmlns="http://schemas.openxmlformats.org/package/2006/relationships"/>
</file>

<file path=word/_rels/header26.xml.rels><?xml version="1.0" encoding="UTF-8"?><Relationships xmlns="http://schemas.openxmlformats.org/package/2006/relationships"/>
</file>

<file path=word/_rels/header27.xml.rels><?xml version="1.0" encoding="UTF-8"?><Relationships xmlns="http://schemas.openxmlformats.org/package/2006/relationships"/>
</file>

<file path=word/_rels/header28.xml.rels><?xml version="1.0" encoding="UTF-8"?><Relationships xmlns="http://schemas.openxmlformats.org/package/2006/relationships"/>
</file>

<file path=word/_rels/header29.xml.rels><?xml version="1.0" encoding="UTF-8"?><Relationships xmlns="http://schemas.openxmlformats.org/package/2006/relationships"/>
</file>

<file path=word/_rels/header30.xml.rels><?xml version="1.0" encoding="UTF-8"?><Relationships xmlns="http://schemas.openxmlformats.org/package/2006/relationships"/>
</file>

<file path=word/_rels/header31.xml.rels><?xml version="1.0" encoding="UTF-8"?><Relationships xmlns="http://schemas.openxmlformats.org/package/2006/relationships"/>
</file>

<file path=word/_rels/header32.xml.rels><?xml version="1.0" encoding="UTF-8"?><Relationships xmlns="http://schemas.openxmlformats.org/package/2006/relationships"/>
</file>

<file path=word/_rels/header33.xml.rels><?xml version="1.0" encoding="UTF-8"?><Relationships xmlns="http://schemas.openxmlformats.org/package/2006/relationships"/>
</file>

<file path=word/_rels/header34.xml.rels><?xml version="1.0" encoding="UTF-8"?><Relationships xmlns="http://schemas.openxmlformats.org/package/2006/relationships"/>
</file>

<file path=word/_rels/header35.xml.rels><?xml version="1.0" encoding="UTF-8"?><Relationships xmlns="http://schemas.openxmlformats.org/package/2006/relationships"/>
</file>

<file path=word/_rels/header36.xml.rels><?xml version="1.0" encoding="UTF-8"?><Relationships xmlns="http://schemas.openxmlformats.org/package/2006/relationships"/>
</file>

<file path=word/_rels/header37.xml.rels><?xml version="1.0" encoding="UTF-8"?><Relationships xmlns="http://schemas.openxmlformats.org/package/2006/relationships"/>
</file>

<file path=word/_rels/header38.xml.rels><?xml version="1.0" encoding="UTF-8"?><Relationships xmlns="http://schemas.openxmlformats.org/package/2006/relationships"/>
</file>

<file path=word/_rels/header39.xml.rels><?xml version="1.0" encoding="UTF-8"?><Relationships xmlns="http://schemas.openxmlformats.org/package/2006/relationships"/>
</file>

<file path=word/_rels/header40.xml.rels><?xml version="1.0" encoding="UTF-8"?><Relationships xmlns="http://schemas.openxmlformats.org/package/2006/relationships"/>
</file>

<file path=word/_rels/header41.xml.rels><?xml version="1.0" encoding="UTF-8"?><Relationships xmlns="http://schemas.openxmlformats.org/package/2006/relationships"/>
</file>

<file path=word/_rels/header42.xml.rels><?xml version="1.0" encoding="UTF-8"?><Relationships xmlns="http://schemas.openxmlformats.org/package/2006/relationships"/>
</file>

<file path=word/_rels/header43.xml.rels><?xml version="1.0" encoding="UTF-8"?><Relationships xmlns="http://schemas.openxmlformats.org/package/2006/relationships"/>
</file>

<file path=word/_rels/header44.xml.rels><?xml version="1.0" encoding="UTF-8"?><Relationships xmlns="http://schemas.openxmlformats.org/package/2006/relationships"/>
</file>

<file path=word/_rels/header45.xml.rels><?xml version="1.0" encoding="UTF-8"?><Relationships xmlns="http://schemas.openxmlformats.org/package/2006/relationships"/>
</file>

<file path=word/_rels/header46.xml.rels><?xml version="1.0" encoding="UTF-8"?><Relationships xmlns="http://schemas.openxmlformats.org/package/2006/relationships"/>
</file>

<file path=word/_rels/header47.xml.rels><?xml version="1.0" encoding="UTF-8"?><Relationships xmlns="http://schemas.openxmlformats.org/package/2006/relationships"/>
</file>

<file path=word/_rels/header48.xml.rels><?xml version="1.0" encoding="UTF-8"?><Relationships xmlns="http://schemas.openxmlformats.org/package/2006/relationships"/>
</file>

<file path=word/_rels/header49.xml.rels><?xml version="1.0" encoding="UTF-8"?><Relationships xmlns="http://schemas.openxmlformats.org/package/2006/relationships"/>
</file>

<file path=word/_rels/header50.xml.rels><?xml version="1.0" encoding="UTF-8"?><Relationships xmlns="http://schemas.openxmlformats.org/package/2006/relationships"/>
</file>

<file path=word/_rels/header51.xml.rels><?xml version="1.0" encoding="UTF-8"?><Relationships xmlns="http://schemas.openxmlformats.org/package/2006/relationships"/>
</file>

<file path=word/_rels/header52.xml.rels><?xml version="1.0" encoding="UTF-8"?><Relationships xmlns="http://schemas.openxmlformats.org/package/2006/relationships"/>
</file>

<file path=word/_rels/header53.xml.rels><?xml version="1.0" encoding="UTF-8"?><Relationships xmlns="http://schemas.openxmlformats.org/package/2006/relationships"/>
</file>

<file path=word/_rels/header54.xml.rels><?xml version="1.0" encoding="UTF-8"?><Relationships xmlns="http://schemas.openxmlformats.org/package/2006/relationships"/>
</file>

<file path=word/_rels/header55.xml.rels><?xml version="1.0" encoding="UTF-8"?><Relationships xmlns="http://schemas.openxmlformats.org/package/2006/relationships"/>
</file>

<file path=word/_rels/header56.xml.rels><?xml version="1.0" encoding="UTF-8"?><Relationships xmlns="http://schemas.openxmlformats.org/package/2006/relationships"/>
</file>

<file path=word/_rels/header57.xml.rels><?xml version="1.0" encoding="UTF-8"?><Relationships xmlns="http://schemas.openxmlformats.org/package/2006/relationships"/>
</file>

<file path=word/_rels/header58.xml.rels><?xml version="1.0" encoding="UTF-8"?><Relationships xmlns="http://schemas.openxmlformats.org/package/2006/relationships"/>
</file>

<file path=word/_rels/header59.xml.rels><?xml version="1.0" encoding="UTF-8"?><Relationships xmlns="http://schemas.openxmlformats.org/package/2006/relationships"/>
</file>

<file path=word/_rels/header60.xml.rels><?xml version="1.0" encoding="UTF-8"?><Relationships xmlns="http://schemas.openxmlformats.org/package/2006/relationships"/>
</file>

<file path=word/_rels/header61.xml.rels><?xml version="1.0" encoding="UTF-8"?><Relationships xmlns="http://schemas.openxmlformats.org/package/2006/relationships"/>
</file>

<file path=word/_rels/header6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Leaders’ Pitfalls</dc:title>
  <dc:creator>Ebimobo-Owei Donatus Tambou, Ph.D.</dc:creator>
  <dc:description>Tracing the Snares of Leadership from Scripture, Imperial Rome and the Early Church to the Present Day</dc:description>
  <cp:lastModifiedBy>Un-named</cp:lastModifiedBy>
  <cp:revision>1</cp:revision>
  <dcterms:created xsi:type="dcterms:W3CDTF">2026-09-25T20:09:08.557Z</dcterms:created>
  <dcterms:modified xsi:type="dcterms:W3CDTF">2026-09-25T20:09:08.557Z</dcterms:modified>
</cp:coreProperties>
</file>

<file path=docProps/custom.xml><?xml version="1.0" encoding="utf-8"?>
<Properties xmlns="http://schemas.openxmlformats.org/officeDocument/2006/custom-properties" xmlns:vt="http://schemas.openxmlformats.org/officeDocument/2006/docPropsVTypes"/>
</file>