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B08" w:rsidRDefault="00C51EF0" w:rsidP="00E0772A">
      <w:pPr>
        <w:spacing w:before="600" w:after="120"/>
        <w:jc w:val="center"/>
      </w:pPr>
      <w:r>
        <w:rPr>
          <w:b/>
          <w:bCs/>
          <w:color w:val="000000"/>
          <w:sz w:val="28"/>
          <w:szCs w:val="28"/>
        </w:rPr>
        <w:t>THE REDEEMED CHRISTIAN THEOLOGICAL COLLEGE</w:t>
      </w:r>
    </w:p>
    <w:p w:rsidR="008E4B08" w:rsidRDefault="00C51EF0" w:rsidP="00E0772A">
      <w:pPr>
        <w:spacing w:after="60"/>
        <w:jc w:val="center"/>
      </w:pPr>
      <w:r>
        <w:rPr>
          <w:sz w:val="22"/>
          <w:szCs w:val="22"/>
        </w:rPr>
        <w:t>Redemption City of God, Mowe, Ogun State, Nigeria</w:t>
      </w:r>
    </w:p>
    <w:p w:rsidR="008E4B08" w:rsidRDefault="00C51EF0" w:rsidP="00E0772A">
      <w:pPr>
        <w:spacing w:after="120"/>
        <w:jc w:val="center"/>
      </w:pPr>
      <w:r>
        <w:rPr>
          <w:i/>
          <w:iCs/>
          <w:sz w:val="22"/>
          <w:szCs w:val="22"/>
        </w:rPr>
        <w:t>Department of Biblical Studies</w:t>
      </w:r>
    </w:p>
    <w:p w:rsidR="008E4B08" w:rsidRDefault="008E4B08" w:rsidP="00E0772A">
      <w:pPr>
        <w:spacing w:before="240" w:after="240"/>
      </w:pPr>
    </w:p>
    <w:p w:rsidR="008E4B08" w:rsidRDefault="00C51EF0" w:rsidP="00E0772A">
      <w:pPr>
        <w:spacing w:before="600" w:after="120"/>
        <w:jc w:val="center"/>
      </w:pPr>
      <w:r>
        <w:rPr>
          <w:b/>
          <w:bCs/>
        </w:rPr>
        <w:t>DOCTOR OF PHILOSOPHY (Ph.D.) PROGRAMME</w:t>
      </w:r>
    </w:p>
    <w:p w:rsidR="008E4B08" w:rsidRDefault="00C51EF0" w:rsidP="00E0772A">
      <w:pPr>
        <w:spacing w:after="600"/>
        <w:jc w:val="center"/>
      </w:pPr>
      <w:r>
        <w:rPr>
          <w:b/>
          <w:bCs/>
        </w:rPr>
        <w:t>COURSE MATERIAL</w:t>
      </w:r>
    </w:p>
    <w:p w:rsidR="008E4B08" w:rsidRDefault="00C51EF0" w:rsidP="00E0772A">
      <w:pPr>
        <w:spacing w:after="240"/>
        <w:jc w:val="center"/>
      </w:pPr>
      <w:r>
        <w:rPr>
          <w:b/>
          <w:bCs/>
          <w:color w:val="000000"/>
          <w:sz w:val="44"/>
          <w:szCs w:val="44"/>
        </w:rPr>
        <w:t>ARCHAEOLOGY AND THE BIBLE</w:t>
      </w:r>
    </w:p>
    <w:p w:rsidR="008E4B08" w:rsidRDefault="00C51EF0" w:rsidP="00E0772A">
      <w:pPr>
        <w:spacing w:after="600"/>
        <w:jc w:val="center"/>
      </w:pPr>
      <w:r>
        <w:rPr>
          <w:i/>
          <w:iCs/>
          <w:sz w:val="26"/>
          <w:szCs w:val="26"/>
        </w:rPr>
        <w:t>Text, Artefact and Interpretation from the Patriarchs to the Early Church</w:t>
      </w:r>
    </w:p>
    <w:p w:rsidR="008E4B08" w:rsidRDefault="008E4B08" w:rsidP="00E0772A">
      <w:pPr>
        <w:spacing w:before="240" w:after="240"/>
      </w:pPr>
    </w:p>
    <w:p w:rsidR="008E4B08" w:rsidRDefault="00C51EF0" w:rsidP="00E0772A">
      <w:pPr>
        <w:spacing w:before="360" w:after="120"/>
        <w:jc w:val="center"/>
      </w:pPr>
      <w:r>
        <w:t>Course Code: ____________________        Credit Units: 3</w:t>
      </w:r>
    </w:p>
    <w:p w:rsidR="008E4B08" w:rsidRDefault="00C51EF0" w:rsidP="00E0772A">
      <w:pPr>
        <w:spacing w:before="480" w:after="60"/>
        <w:jc w:val="center"/>
      </w:pPr>
      <w:r>
        <w:rPr>
          <w:i/>
          <w:iCs/>
        </w:rPr>
        <w:t>Prepared by</w:t>
      </w:r>
    </w:p>
    <w:p w:rsidR="008E4B08" w:rsidRDefault="00C51EF0" w:rsidP="00E0772A">
      <w:pPr>
        <w:spacing w:after="60"/>
        <w:jc w:val="center"/>
      </w:pPr>
      <w:r>
        <w:rPr>
          <w:b/>
          <w:bCs/>
          <w:color w:val="000000"/>
          <w:sz w:val="28"/>
          <w:szCs w:val="28"/>
        </w:rPr>
        <w:t>Pastor E. D. Tambou</w:t>
      </w:r>
    </w:p>
    <w:p w:rsidR="008E4B08" w:rsidRDefault="00C51EF0" w:rsidP="00E0772A">
      <w:pPr>
        <w:spacing w:after="120"/>
        <w:jc w:val="center"/>
      </w:pPr>
      <w:r>
        <w:t>Ph.D. Biblical Studies</w:t>
      </w:r>
    </w:p>
    <w:p w:rsidR="008E4B08" w:rsidRDefault="008E4B08">
      <w:pPr>
        <w:sectPr w:rsidR="008E4B08">
          <w:pgSz w:w="11906" w:h="16838"/>
          <w:pgMar w:top="1440" w:right="1440" w:bottom="1440" w:left="1440" w:header="708" w:footer="708" w:gutter="0"/>
          <w:cols w:space="720"/>
          <w:docGrid w:linePitch="360"/>
        </w:sectPr>
      </w:pPr>
    </w:p>
    <w:p w:rsidR="008E4B08" w:rsidRPr="00C51EF0" w:rsidRDefault="00C51EF0">
      <w:pPr>
        <w:spacing w:after="360"/>
        <w:jc w:val="center"/>
      </w:pPr>
      <w:r w:rsidRPr="00C51EF0">
        <w:rPr>
          <w:b/>
          <w:bCs/>
          <w:sz w:val="28"/>
          <w:szCs w:val="28"/>
        </w:rPr>
        <w:lastRenderedPageBreak/>
        <w:t>TABLE OF CONTENTS</w:t>
      </w:r>
    </w:p>
    <w:sdt>
      <w:sdtPr>
        <w:alias w:val="Table of Contents"/>
        <w:id w:val="-2073570492"/>
      </w:sdtPr>
      <w:sdtEndPr/>
      <w:sdtContent>
        <w:p w:rsidR="00C51EF0" w:rsidRPr="00C51EF0" w:rsidRDefault="00C51EF0">
          <w:pPr>
            <w:pStyle w:val="TOC1"/>
            <w:tabs>
              <w:tab w:val="right" w:leader="dot" w:pos="9016"/>
            </w:tabs>
            <w:rPr>
              <w:noProof/>
            </w:rPr>
          </w:pPr>
          <w:r w:rsidRPr="00C51EF0">
            <w:fldChar w:fldCharType="begin"/>
          </w:r>
          <w:r w:rsidRPr="00C51EF0">
            <w:instrText>TOC \h \o "1-2"</w:instrText>
          </w:r>
          <w:r w:rsidRPr="00C51EF0">
            <w:fldChar w:fldCharType="separate"/>
          </w:r>
          <w:hyperlink w:anchor="_Toc241908361" w:history="1">
            <w:r w:rsidRPr="00C51EF0">
              <w:rPr>
                <w:rStyle w:val="Hyperlink"/>
                <w:noProof/>
                <w:color w:val="auto"/>
              </w:rPr>
              <w:t>COURSE INFORMATION</w:t>
            </w:r>
            <w:r w:rsidRPr="00C51EF0">
              <w:rPr>
                <w:noProof/>
              </w:rPr>
              <w:tab/>
            </w:r>
            <w:r w:rsidRPr="00C51EF0">
              <w:rPr>
                <w:noProof/>
              </w:rPr>
              <w:fldChar w:fldCharType="begin"/>
            </w:r>
            <w:r w:rsidRPr="00C51EF0">
              <w:rPr>
                <w:noProof/>
              </w:rPr>
              <w:instrText xml:space="preserve"> PAGEREF _Toc241908361 \h </w:instrText>
            </w:r>
            <w:r w:rsidRPr="00C51EF0">
              <w:rPr>
                <w:noProof/>
              </w:rPr>
            </w:r>
            <w:r w:rsidRPr="00C51EF0">
              <w:rPr>
                <w:noProof/>
              </w:rPr>
              <w:fldChar w:fldCharType="separate"/>
            </w:r>
            <w:r w:rsidRPr="00C51EF0">
              <w:rPr>
                <w:noProof/>
              </w:rPr>
              <w:t>vii</w:t>
            </w:r>
            <w:r w:rsidRPr="00C51EF0">
              <w:rPr>
                <w:noProof/>
              </w:rPr>
              <w:fldChar w:fldCharType="end"/>
            </w:r>
          </w:hyperlink>
        </w:p>
        <w:p w:rsidR="00C51EF0" w:rsidRPr="00C51EF0" w:rsidRDefault="00C51EF0">
          <w:pPr>
            <w:pStyle w:val="TOC2"/>
            <w:tabs>
              <w:tab w:val="right" w:leader="dot" w:pos="9016"/>
            </w:tabs>
            <w:rPr>
              <w:noProof/>
            </w:rPr>
          </w:pPr>
          <w:hyperlink w:anchor="_Toc241908362" w:history="1">
            <w:r w:rsidRPr="00C51EF0">
              <w:rPr>
                <w:rStyle w:val="Hyperlink"/>
                <w:noProof/>
                <w:color w:val="auto"/>
              </w:rPr>
              <w:t>Course Title</w:t>
            </w:r>
            <w:r w:rsidRPr="00C51EF0">
              <w:rPr>
                <w:noProof/>
              </w:rPr>
              <w:tab/>
            </w:r>
            <w:r w:rsidRPr="00C51EF0">
              <w:rPr>
                <w:noProof/>
              </w:rPr>
              <w:fldChar w:fldCharType="begin"/>
            </w:r>
            <w:r w:rsidRPr="00C51EF0">
              <w:rPr>
                <w:noProof/>
              </w:rPr>
              <w:instrText xml:space="preserve"> PAGEREF _Toc241908362 \h </w:instrText>
            </w:r>
            <w:r w:rsidRPr="00C51EF0">
              <w:rPr>
                <w:noProof/>
              </w:rPr>
            </w:r>
            <w:r w:rsidRPr="00C51EF0">
              <w:rPr>
                <w:noProof/>
              </w:rPr>
              <w:fldChar w:fldCharType="separate"/>
            </w:r>
            <w:r w:rsidRPr="00C51EF0">
              <w:rPr>
                <w:noProof/>
              </w:rPr>
              <w:t>vii</w:t>
            </w:r>
            <w:r w:rsidRPr="00C51EF0">
              <w:rPr>
                <w:noProof/>
              </w:rPr>
              <w:fldChar w:fldCharType="end"/>
            </w:r>
          </w:hyperlink>
        </w:p>
        <w:p w:rsidR="00C51EF0" w:rsidRPr="00C51EF0" w:rsidRDefault="00C51EF0">
          <w:pPr>
            <w:pStyle w:val="TOC2"/>
            <w:tabs>
              <w:tab w:val="right" w:leader="dot" w:pos="9016"/>
            </w:tabs>
            <w:rPr>
              <w:noProof/>
            </w:rPr>
          </w:pPr>
          <w:hyperlink w:anchor="_Toc241908363" w:history="1">
            <w:r w:rsidRPr="00C51EF0">
              <w:rPr>
                <w:rStyle w:val="Hyperlink"/>
                <w:noProof/>
                <w:color w:val="auto"/>
              </w:rPr>
              <w:t>Course Level and Credit</w:t>
            </w:r>
            <w:r w:rsidRPr="00C51EF0">
              <w:rPr>
                <w:noProof/>
              </w:rPr>
              <w:tab/>
            </w:r>
            <w:bookmarkStart w:id="0" w:name="_GoBack"/>
            <w:bookmarkEnd w:id="0"/>
            <w:r w:rsidRPr="00C51EF0">
              <w:rPr>
                <w:noProof/>
              </w:rPr>
              <w:fldChar w:fldCharType="begin"/>
            </w:r>
            <w:r w:rsidRPr="00C51EF0">
              <w:rPr>
                <w:noProof/>
              </w:rPr>
              <w:instrText xml:space="preserve"> PAGEREF _Toc241908363 \h </w:instrText>
            </w:r>
            <w:r w:rsidRPr="00C51EF0">
              <w:rPr>
                <w:noProof/>
              </w:rPr>
            </w:r>
            <w:r w:rsidRPr="00C51EF0">
              <w:rPr>
                <w:noProof/>
              </w:rPr>
              <w:fldChar w:fldCharType="separate"/>
            </w:r>
            <w:r w:rsidRPr="00C51EF0">
              <w:rPr>
                <w:noProof/>
              </w:rPr>
              <w:t>vii</w:t>
            </w:r>
            <w:r w:rsidRPr="00C51EF0">
              <w:rPr>
                <w:noProof/>
              </w:rPr>
              <w:fldChar w:fldCharType="end"/>
            </w:r>
          </w:hyperlink>
        </w:p>
        <w:p w:rsidR="00C51EF0" w:rsidRPr="00C51EF0" w:rsidRDefault="00C51EF0">
          <w:pPr>
            <w:pStyle w:val="TOC2"/>
            <w:tabs>
              <w:tab w:val="right" w:leader="dot" w:pos="9016"/>
            </w:tabs>
            <w:rPr>
              <w:noProof/>
            </w:rPr>
          </w:pPr>
          <w:hyperlink w:anchor="_Toc241908364" w:history="1">
            <w:r w:rsidRPr="00C51EF0">
              <w:rPr>
                <w:rStyle w:val="Hyperlink"/>
                <w:noProof/>
                <w:color w:val="auto"/>
              </w:rPr>
              <w:t>Course Description</w:t>
            </w:r>
            <w:r w:rsidRPr="00C51EF0">
              <w:rPr>
                <w:noProof/>
              </w:rPr>
              <w:tab/>
            </w:r>
            <w:r w:rsidRPr="00C51EF0">
              <w:rPr>
                <w:noProof/>
              </w:rPr>
              <w:fldChar w:fldCharType="begin"/>
            </w:r>
            <w:r w:rsidRPr="00C51EF0">
              <w:rPr>
                <w:noProof/>
              </w:rPr>
              <w:instrText xml:space="preserve"> PAGEREF _Toc241908364 \h </w:instrText>
            </w:r>
            <w:r w:rsidRPr="00C51EF0">
              <w:rPr>
                <w:noProof/>
              </w:rPr>
            </w:r>
            <w:r w:rsidRPr="00C51EF0">
              <w:rPr>
                <w:noProof/>
              </w:rPr>
              <w:fldChar w:fldCharType="separate"/>
            </w:r>
            <w:r w:rsidRPr="00C51EF0">
              <w:rPr>
                <w:noProof/>
              </w:rPr>
              <w:t>vii</w:t>
            </w:r>
            <w:r w:rsidRPr="00C51EF0">
              <w:rPr>
                <w:noProof/>
              </w:rPr>
              <w:fldChar w:fldCharType="end"/>
            </w:r>
          </w:hyperlink>
        </w:p>
        <w:p w:rsidR="00C51EF0" w:rsidRPr="00C51EF0" w:rsidRDefault="00C51EF0">
          <w:pPr>
            <w:pStyle w:val="TOC2"/>
            <w:tabs>
              <w:tab w:val="right" w:leader="dot" w:pos="9016"/>
            </w:tabs>
            <w:rPr>
              <w:noProof/>
            </w:rPr>
          </w:pPr>
          <w:hyperlink w:anchor="_Toc241908365" w:history="1">
            <w:r w:rsidRPr="00C51EF0">
              <w:rPr>
                <w:rStyle w:val="Hyperlink"/>
                <w:noProof/>
                <w:color w:val="auto"/>
              </w:rPr>
              <w:t>Course Aim</w:t>
            </w:r>
            <w:r w:rsidRPr="00C51EF0">
              <w:rPr>
                <w:noProof/>
              </w:rPr>
              <w:tab/>
            </w:r>
            <w:r w:rsidRPr="00C51EF0">
              <w:rPr>
                <w:noProof/>
              </w:rPr>
              <w:fldChar w:fldCharType="begin"/>
            </w:r>
            <w:r w:rsidRPr="00C51EF0">
              <w:rPr>
                <w:noProof/>
              </w:rPr>
              <w:instrText xml:space="preserve"> PAGEREF _Toc241908365 \h </w:instrText>
            </w:r>
            <w:r w:rsidRPr="00C51EF0">
              <w:rPr>
                <w:noProof/>
              </w:rPr>
            </w:r>
            <w:r w:rsidRPr="00C51EF0">
              <w:rPr>
                <w:noProof/>
              </w:rPr>
              <w:fldChar w:fldCharType="separate"/>
            </w:r>
            <w:r w:rsidRPr="00C51EF0">
              <w:rPr>
                <w:noProof/>
              </w:rPr>
              <w:t>viii</w:t>
            </w:r>
            <w:r w:rsidRPr="00C51EF0">
              <w:rPr>
                <w:noProof/>
              </w:rPr>
              <w:fldChar w:fldCharType="end"/>
            </w:r>
          </w:hyperlink>
        </w:p>
        <w:p w:rsidR="00C51EF0" w:rsidRPr="00C51EF0" w:rsidRDefault="00C51EF0">
          <w:pPr>
            <w:pStyle w:val="TOC2"/>
            <w:tabs>
              <w:tab w:val="right" w:leader="dot" w:pos="9016"/>
            </w:tabs>
            <w:rPr>
              <w:noProof/>
            </w:rPr>
          </w:pPr>
          <w:hyperlink w:anchor="_Toc241908366" w:history="1">
            <w:r w:rsidRPr="00C51EF0">
              <w:rPr>
                <w:rStyle w:val="Hyperlink"/>
                <w:noProof/>
                <w:color w:val="auto"/>
              </w:rPr>
              <w:t>Course Objectives</w:t>
            </w:r>
            <w:r w:rsidRPr="00C51EF0">
              <w:rPr>
                <w:noProof/>
              </w:rPr>
              <w:tab/>
            </w:r>
            <w:r w:rsidRPr="00C51EF0">
              <w:rPr>
                <w:noProof/>
              </w:rPr>
              <w:fldChar w:fldCharType="begin"/>
            </w:r>
            <w:r w:rsidRPr="00C51EF0">
              <w:rPr>
                <w:noProof/>
              </w:rPr>
              <w:instrText xml:space="preserve"> PAGEREF _Toc241908366 \h </w:instrText>
            </w:r>
            <w:r w:rsidRPr="00C51EF0">
              <w:rPr>
                <w:noProof/>
              </w:rPr>
            </w:r>
            <w:r w:rsidRPr="00C51EF0">
              <w:rPr>
                <w:noProof/>
              </w:rPr>
              <w:fldChar w:fldCharType="separate"/>
            </w:r>
            <w:r w:rsidRPr="00C51EF0">
              <w:rPr>
                <w:noProof/>
              </w:rPr>
              <w:t>viii</w:t>
            </w:r>
            <w:r w:rsidRPr="00C51EF0">
              <w:rPr>
                <w:noProof/>
              </w:rPr>
              <w:fldChar w:fldCharType="end"/>
            </w:r>
          </w:hyperlink>
        </w:p>
        <w:p w:rsidR="00C51EF0" w:rsidRPr="00C51EF0" w:rsidRDefault="00C51EF0">
          <w:pPr>
            <w:pStyle w:val="TOC2"/>
            <w:tabs>
              <w:tab w:val="right" w:leader="dot" w:pos="9016"/>
            </w:tabs>
            <w:rPr>
              <w:noProof/>
            </w:rPr>
          </w:pPr>
          <w:hyperlink w:anchor="_Toc241908367" w:history="1">
            <w:r w:rsidRPr="00C51EF0">
              <w:rPr>
                <w:rStyle w:val="Hyperlink"/>
                <w:noProof/>
                <w:color w:val="auto"/>
              </w:rPr>
              <w:t>Mode of Delivery</w:t>
            </w:r>
            <w:r w:rsidRPr="00C51EF0">
              <w:rPr>
                <w:noProof/>
              </w:rPr>
              <w:tab/>
            </w:r>
            <w:r w:rsidRPr="00C51EF0">
              <w:rPr>
                <w:noProof/>
              </w:rPr>
              <w:fldChar w:fldCharType="begin"/>
            </w:r>
            <w:r w:rsidRPr="00C51EF0">
              <w:rPr>
                <w:noProof/>
              </w:rPr>
              <w:instrText xml:space="preserve"> PAGEREF _Toc241908367 \h </w:instrText>
            </w:r>
            <w:r w:rsidRPr="00C51EF0">
              <w:rPr>
                <w:noProof/>
              </w:rPr>
            </w:r>
            <w:r w:rsidRPr="00C51EF0">
              <w:rPr>
                <w:noProof/>
              </w:rPr>
              <w:fldChar w:fldCharType="separate"/>
            </w:r>
            <w:r w:rsidRPr="00C51EF0">
              <w:rPr>
                <w:noProof/>
              </w:rPr>
              <w:t>viii</w:t>
            </w:r>
            <w:r w:rsidRPr="00C51EF0">
              <w:rPr>
                <w:noProof/>
              </w:rPr>
              <w:fldChar w:fldCharType="end"/>
            </w:r>
          </w:hyperlink>
        </w:p>
        <w:p w:rsidR="00C51EF0" w:rsidRPr="00C51EF0" w:rsidRDefault="00C51EF0">
          <w:pPr>
            <w:pStyle w:val="TOC2"/>
            <w:tabs>
              <w:tab w:val="right" w:leader="dot" w:pos="9016"/>
            </w:tabs>
            <w:rPr>
              <w:noProof/>
            </w:rPr>
          </w:pPr>
          <w:hyperlink w:anchor="_Toc241908368" w:history="1">
            <w:r w:rsidRPr="00C51EF0">
              <w:rPr>
                <w:rStyle w:val="Hyperlink"/>
                <w:noProof/>
                <w:color w:val="auto"/>
              </w:rPr>
              <w:t>Course Outline</w:t>
            </w:r>
            <w:r w:rsidRPr="00C51EF0">
              <w:rPr>
                <w:noProof/>
              </w:rPr>
              <w:tab/>
            </w:r>
            <w:r w:rsidRPr="00C51EF0">
              <w:rPr>
                <w:noProof/>
              </w:rPr>
              <w:fldChar w:fldCharType="begin"/>
            </w:r>
            <w:r w:rsidRPr="00C51EF0">
              <w:rPr>
                <w:noProof/>
              </w:rPr>
              <w:instrText xml:space="preserve"> PAGEREF _Toc241908368 \h </w:instrText>
            </w:r>
            <w:r w:rsidRPr="00C51EF0">
              <w:rPr>
                <w:noProof/>
              </w:rPr>
            </w:r>
            <w:r w:rsidRPr="00C51EF0">
              <w:rPr>
                <w:noProof/>
              </w:rPr>
              <w:fldChar w:fldCharType="separate"/>
            </w:r>
            <w:r w:rsidRPr="00C51EF0">
              <w:rPr>
                <w:noProof/>
              </w:rPr>
              <w:t>ix</w:t>
            </w:r>
            <w:r w:rsidRPr="00C51EF0">
              <w:rPr>
                <w:noProof/>
              </w:rPr>
              <w:fldChar w:fldCharType="end"/>
            </w:r>
          </w:hyperlink>
        </w:p>
        <w:p w:rsidR="00C51EF0" w:rsidRPr="00C51EF0" w:rsidRDefault="00C51EF0">
          <w:pPr>
            <w:pStyle w:val="TOC2"/>
            <w:tabs>
              <w:tab w:val="right" w:leader="dot" w:pos="9016"/>
            </w:tabs>
            <w:rPr>
              <w:noProof/>
            </w:rPr>
          </w:pPr>
          <w:hyperlink w:anchor="_Toc241908369" w:history="1">
            <w:r w:rsidRPr="00C51EF0">
              <w:rPr>
                <w:rStyle w:val="Hyperlink"/>
                <w:noProof/>
                <w:color w:val="auto"/>
              </w:rPr>
              <w:t>Structure of Each Unit</w:t>
            </w:r>
            <w:r w:rsidRPr="00C51EF0">
              <w:rPr>
                <w:noProof/>
              </w:rPr>
              <w:tab/>
            </w:r>
            <w:r w:rsidRPr="00C51EF0">
              <w:rPr>
                <w:noProof/>
              </w:rPr>
              <w:fldChar w:fldCharType="begin"/>
            </w:r>
            <w:r w:rsidRPr="00C51EF0">
              <w:rPr>
                <w:noProof/>
              </w:rPr>
              <w:instrText xml:space="preserve"> PAGEREF _Toc241908369 \h </w:instrText>
            </w:r>
            <w:r w:rsidRPr="00C51EF0">
              <w:rPr>
                <w:noProof/>
              </w:rPr>
            </w:r>
            <w:r w:rsidRPr="00C51EF0">
              <w:rPr>
                <w:noProof/>
              </w:rPr>
              <w:fldChar w:fldCharType="separate"/>
            </w:r>
            <w:r w:rsidRPr="00C51EF0">
              <w:rPr>
                <w:noProof/>
              </w:rPr>
              <w:t>ix</w:t>
            </w:r>
            <w:r w:rsidRPr="00C51EF0">
              <w:rPr>
                <w:noProof/>
              </w:rPr>
              <w:fldChar w:fldCharType="end"/>
            </w:r>
          </w:hyperlink>
        </w:p>
        <w:p w:rsidR="00C51EF0" w:rsidRPr="00C51EF0" w:rsidRDefault="00C51EF0">
          <w:pPr>
            <w:pStyle w:val="TOC2"/>
            <w:tabs>
              <w:tab w:val="right" w:leader="dot" w:pos="9016"/>
            </w:tabs>
            <w:rPr>
              <w:noProof/>
            </w:rPr>
          </w:pPr>
          <w:hyperlink w:anchor="_Toc241908370" w:history="1">
            <w:r w:rsidRPr="00C51EF0">
              <w:rPr>
                <w:rStyle w:val="Hyperlink"/>
                <w:noProof/>
                <w:color w:val="auto"/>
              </w:rPr>
              <w:t>Note on Conventions</w:t>
            </w:r>
            <w:r w:rsidRPr="00C51EF0">
              <w:rPr>
                <w:noProof/>
              </w:rPr>
              <w:tab/>
            </w:r>
            <w:r w:rsidRPr="00C51EF0">
              <w:rPr>
                <w:noProof/>
              </w:rPr>
              <w:fldChar w:fldCharType="begin"/>
            </w:r>
            <w:r w:rsidRPr="00C51EF0">
              <w:rPr>
                <w:noProof/>
              </w:rPr>
              <w:instrText xml:space="preserve"> PAGEREF _Toc241908370 \h </w:instrText>
            </w:r>
            <w:r w:rsidRPr="00C51EF0">
              <w:rPr>
                <w:noProof/>
              </w:rPr>
            </w:r>
            <w:r w:rsidRPr="00C51EF0">
              <w:rPr>
                <w:noProof/>
              </w:rPr>
              <w:fldChar w:fldCharType="separate"/>
            </w:r>
            <w:r w:rsidRPr="00C51EF0">
              <w:rPr>
                <w:noProof/>
              </w:rPr>
              <w:t>x</w:t>
            </w:r>
            <w:r w:rsidRPr="00C51EF0">
              <w:rPr>
                <w:noProof/>
              </w:rPr>
              <w:fldChar w:fldCharType="end"/>
            </w:r>
          </w:hyperlink>
        </w:p>
        <w:p w:rsidR="00C51EF0" w:rsidRPr="00C51EF0" w:rsidRDefault="00C51EF0">
          <w:pPr>
            <w:pStyle w:val="TOC1"/>
            <w:tabs>
              <w:tab w:val="right" w:leader="dot" w:pos="9016"/>
            </w:tabs>
            <w:rPr>
              <w:noProof/>
            </w:rPr>
          </w:pPr>
          <w:hyperlink w:anchor="_Toc241908371" w:history="1">
            <w:r w:rsidRPr="00C51EF0">
              <w:rPr>
                <w:rStyle w:val="Hyperlink"/>
                <w:noProof/>
                <w:color w:val="auto"/>
              </w:rPr>
              <w:t>UNIT ONE: NATURE, SCOPE AND PURPOSE OF BIBLICAL ARCHAEOLOGY</w:t>
            </w:r>
            <w:r w:rsidRPr="00C51EF0">
              <w:rPr>
                <w:noProof/>
              </w:rPr>
              <w:tab/>
            </w:r>
            <w:r w:rsidRPr="00C51EF0">
              <w:rPr>
                <w:noProof/>
              </w:rPr>
              <w:fldChar w:fldCharType="begin"/>
            </w:r>
            <w:r w:rsidRPr="00C51EF0">
              <w:rPr>
                <w:noProof/>
              </w:rPr>
              <w:instrText xml:space="preserve"> PAGEREF _Toc241908371 \h </w:instrText>
            </w:r>
            <w:r w:rsidRPr="00C51EF0">
              <w:rPr>
                <w:noProof/>
              </w:rPr>
            </w:r>
            <w:r w:rsidRPr="00C51EF0">
              <w:rPr>
                <w:noProof/>
              </w:rPr>
              <w:fldChar w:fldCharType="separate"/>
            </w:r>
            <w:r w:rsidRPr="00C51EF0">
              <w:rPr>
                <w:noProof/>
              </w:rPr>
              <w:t>1</w:t>
            </w:r>
            <w:r w:rsidRPr="00C51EF0">
              <w:rPr>
                <w:noProof/>
              </w:rPr>
              <w:fldChar w:fldCharType="end"/>
            </w:r>
          </w:hyperlink>
        </w:p>
        <w:p w:rsidR="00C51EF0" w:rsidRPr="00C51EF0" w:rsidRDefault="00C51EF0">
          <w:pPr>
            <w:pStyle w:val="TOC2"/>
            <w:tabs>
              <w:tab w:val="right" w:leader="dot" w:pos="9016"/>
            </w:tabs>
            <w:rPr>
              <w:noProof/>
            </w:rPr>
          </w:pPr>
          <w:hyperlink w:anchor="_Toc241908372" w:history="1">
            <w:r w:rsidRPr="00C51EF0">
              <w:rPr>
                <w:rStyle w:val="Hyperlink"/>
                <w:noProof/>
                <w:color w:val="auto"/>
              </w:rPr>
              <w:t>1.1 Introduction</w:t>
            </w:r>
            <w:r w:rsidRPr="00C51EF0">
              <w:rPr>
                <w:noProof/>
              </w:rPr>
              <w:tab/>
            </w:r>
            <w:r w:rsidRPr="00C51EF0">
              <w:rPr>
                <w:noProof/>
              </w:rPr>
              <w:fldChar w:fldCharType="begin"/>
            </w:r>
            <w:r w:rsidRPr="00C51EF0">
              <w:rPr>
                <w:noProof/>
              </w:rPr>
              <w:instrText xml:space="preserve"> PAGEREF _Toc241908372 \h </w:instrText>
            </w:r>
            <w:r w:rsidRPr="00C51EF0">
              <w:rPr>
                <w:noProof/>
              </w:rPr>
            </w:r>
            <w:r w:rsidRPr="00C51EF0">
              <w:rPr>
                <w:noProof/>
              </w:rPr>
              <w:fldChar w:fldCharType="separate"/>
            </w:r>
            <w:r w:rsidRPr="00C51EF0">
              <w:rPr>
                <w:noProof/>
              </w:rPr>
              <w:t>1</w:t>
            </w:r>
            <w:r w:rsidRPr="00C51EF0">
              <w:rPr>
                <w:noProof/>
              </w:rPr>
              <w:fldChar w:fldCharType="end"/>
            </w:r>
          </w:hyperlink>
        </w:p>
        <w:p w:rsidR="00C51EF0" w:rsidRPr="00C51EF0" w:rsidRDefault="00C51EF0">
          <w:pPr>
            <w:pStyle w:val="TOC2"/>
            <w:tabs>
              <w:tab w:val="right" w:leader="dot" w:pos="9016"/>
            </w:tabs>
            <w:rPr>
              <w:noProof/>
            </w:rPr>
          </w:pPr>
          <w:hyperlink w:anchor="_Toc241908373" w:history="1">
            <w:r w:rsidRPr="00C51EF0">
              <w:rPr>
                <w:rStyle w:val="Hyperlink"/>
                <w:noProof/>
                <w:color w:val="auto"/>
              </w:rPr>
              <w:t>1.2 Learning Objectives</w:t>
            </w:r>
            <w:r w:rsidRPr="00C51EF0">
              <w:rPr>
                <w:noProof/>
              </w:rPr>
              <w:tab/>
            </w:r>
            <w:r w:rsidRPr="00C51EF0">
              <w:rPr>
                <w:noProof/>
              </w:rPr>
              <w:fldChar w:fldCharType="begin"/>
            </w:r>
            <w:r w:rsidRPr="00C51EF0">
              <w:rPr>
                <w:noProof/>
              </w:rPr>
              <w:instrText xml:space="preserve"> PAGEREF _Toc241908373 \h </w:instrText>
            </w:r>
            <w:r w:rsidRPr="00C51EF0">
              <w:rPr>
                <w:noProof/>
              </w:rPr>
            </w:r>
            <w:r w:rsidRPr="00C51EF0">
              <w:rPr>
                <w:noProof/>
              </w:rPr>
              <w:fldChar w:fldCharType="separate"/>
            </w:r>
            <w:r w:rsidRPr="00C51EF0">
              <w:rPr>
                <w:noProof/>
              </w:rPr>
              <w:t>1</w:t>
            </w:r>
            <w:r w:rsidRPr="00C51EF0">
              <w:rPr>
                <w:noProof/>
              </w:rPr>
              <w:fldChar w:fldCharType="end"/>
            </w:r>
          </w:hyperlink>
        </w:p>
        <w:p w:rsidR="00C51EF0" w:rsidRPr="00C51EF0" w:rsidRDefault="00C51EF0">
          <w:pPr>
            <w:pStyle w:val="TOC2"/>
            <w:tabs>
              <w:tab w:val="right" w:leader="dot" w:pos="9016"/>
            </w:tabs>
            <w:rPr>
              <w:noProof/>
            </w:rPr>
          </w:pPr>
          <w:hyperlink w:anchor="_Toc241908374" w:history="1">
            <w:r w:rsidRPr="00C51EF0">
              <w:rPr>
                <w:rStyle w:val="Hyperlink"/>
                <w:noProof/>
                <w:color w:val="auto"/>
              </w:rPr>
              <w:t>1.3 What Is Archaeology?</w:t>
            </w:r>
            <w:r w:rsidRPr="00C51EF0">
              <w:rPr>
                <w:noProof/>
              </w:rPr>
              <w:tab/>
            </w:r>
            <w:r w:rsidRPr="00C51EF0">
              <w:rPr>
                <w:noProof/>
              </w:rPr>
              <w:fldChar w:fldCharType="begin"/>
            </w:r>
            <w:r w:rsidRPr="00C51EF0">
              <w:rPr>
                <w:noProof/>
              </w:rPr>
              <w:instrText xml:space="preserve"> PAGEREF _Toc241908374 \h </w:instrText>
            </w:r>
            <w:r w:rsidRPr="00C51EF0">
              <w:rPr>
                <w:noProof/>
              </w:rPr>
            </w:r>
            <w:r w:rsidRPr="00C51EF0">
              <w:rPr>
                <w:noProof/>
              </w:rPr>
              <w:fldChar w:fldCharType="separate"/>
            </w:r>
            <w:r w:rsidRPr="00C51EF0">
              <w:rPr>
                <w:noProof/>
              </w:rPr>
              <w:t>1</w:t>
            </w:r>
            <w:r w:rsidRPr="00C51EF0">
              <w:rPr>
                <w:noProof/>
              </w:rPr>
              <w:fldChar w:fldCharType="end"/>
            </w:r>
          </w:hyperlink>
        </w:p>
        <w:p w:rsidR="00C51EF0" w:rsidRPr="00C51EF0" w:rsidRDefault="00C51EF0">
          <w:pPr>
            <w:pStyle w:val="TOC2"/>
            <w:tabs>
              <w:tab w:val="right" w:leader="dot" w:pos="9016"/>
            </w:tabs>
            <w:rPr>
              <w:noProof/>
            </w:rPr>
          </w:pPr>
          <w:hyperlink w:anchor="_Toc241908375" w:history="1">
            <w:r w:rsidRPr="00C51EF0">
              <w:rPr>
                <w:rStyle w:val="Hyperlink"/>
                <w:noProof/>
                <w:color w:val="auto"/>
              </w:rPr>
              <w:t>1.4 What Is Biblical Archaeology?</w:t>
            </w:r>
            <w:r w:rsidRPr="00C51EF0">
              <w:rPr>
                <w:noProof/>
              </w:rPr>
              <w:tab/>
            </w:r>
            <w:r w:rsidRPr="00C51EF0">
              <w:rPr>
                <w:noProof/>
              </w:rPr>
              <w:fldChar w:fldCharType="begin"/>
            </w:r>
            <w:r w:rsidRPr="00C51EF0">
              <w:rPr>
                <w:noProof/>
              </w:rPr>
              <w:instrText xml:space="preserve"> PAGEREF _Toc241908375 \h </w:instrText>
            </w:r>
            <w:r w:rsidRPr="00C51EF0">
              <w:rPr>
                <w:noProof/>
              </w:rPr>
            </w:r>
            <w:r w:rsidRPr="00C51EF0">
              <w:rPr>
                <w:noProof/>
              </w:rPr>
              <w:fldChar w:fldCharType="separate"/>
            </w:r>
            <w:r w:rsidRPr="00C51EF0">
              <w:rPr>
                <w:noProof/>
              </w:rPr>
              <w:t>2</w:t>
            </w:r>
            <w:r w:rsidRPr="00C51EF0">
              <w:rPr>
                <w:noProof/>
              </w:rPr>
              <w:fldChar w:fldCharType="end"/>
            </w:r>
          </w:hyperlink>
        </w:p>
        <w:p w:rsidR="00C51EF0" w:rsidRPr="00C51EF0" w:rsidRDefault="00C51EF0">
          <w:pPr>
            <w:pStyle w:val="TOC2"/>
            <w:tabs>
              <w:tab w:val="right" w:leader="dot" w:pos="9016"/>
            </w:tabs>
            <w:rPr>
              <w:noProof/>
            </w:rPr>
          </w:pPr>
          <w:hyperlink w:anchor="_Toc241908376" w:history="1">
            <w:r w:rsidRPr="00C51EF0">
              <w:rPr>
                <w:rStyle w:val="Hyperlink"/>
                <w:noProof/>
                <w:color w:val="auto"/>
              </w:rPr>
              <w:t>1.5 Where and When Biblical Archaeology Works</w:t>
            </w:r>
            <w:r w:rsidRPr="00C51EF0">
              <w:rPr>
                <w:noProof/>
              </w:rPr>
              <w:tab/>
            </w:r>
            <w:r w:rsidRPr="00C51EF0">
              <w:rPr>
                <w:noProof/>
              </w:rPr>
              <w:fldChar w:fldCharType="begin"/>
            </w:r>
            <w:r w:rsidRPr="00C51EF0">
              <w:rPr>
                <w:noProof/>
              </w:rPr>
              <w:instrText xml:space="preserve"> PAGEREF _Toc241908376 \h </w:instrText>
            </w:r>
            <w:r w:rsidRPr="00C51EF0">
              <w:rPr>
                <w:noProof/>
              </w:rPr>
            </w:r>
            <w:r w:rsidRPr="00C51EF0">
              <w:rPr>
                <w:noProof/>
              </w:rPr>
              <w:fldChar w:fldCharType="separate"/>
            </w:r>
            <w:r w:rsidRPr="00C51EF0">
              <w:rPr>
                <w:noProof/>
              </w:rPr>
              <w:t>3</w:t>
            </w:r>
            <w:r w:rsidRPr="00C51EF0">
              <w:rPr>
                <w:noProof/>
              </w:rPr>
              <w:fldChar w:fldCharType="end"/>
            </w:r>
          </w:hyperlink>
        </w:p>
        <w:p w:rsidR="00C51EF0" w:rsidRPr="00C51EF0" w:rsidRDefault="00C51EF0">
          <w:pPr>
            <w:pStyle w:val="TOC2"/>
            <w:tabs>
              <w:tab w:val="right" w:leader="dot" w:pos="9016"/>
            </w:tabs>
            <w:rPr>
              <w:noProof/>
            </w:rPr>
          </w:pPr>
          <w:hyperlink w:anchor="_Toc241908377" w:history="1">
            <w:r w:rsidRPr="00C51EF0">
              <w:rPr>
                <w:rStyle w:val="Hyperlink"/>
                <w:noProof/>
                <w:color w:val="auto"/>
              </w:rPr>
              <w:t>1.6 Kinds of Archaeological Evidence</w:t>
            </w:r>
            <w:r w:rsidRPr="00C51EF0">
              <w:rPr>
                <w:noProof/>
              </w:rPr>
              <w:tab/>
            </w:r>
            <w:r w:rsidRPr="00C51EF0">
              <w:rPr>
                <w:noProof/>
              </w:rPr>
              <w:fldChar w:fldCharType="begin"/>
            </w:r>
            <w:r w:rsidRPr="00C51EF0">
              <w:rPr>
                <w:noProof/>
              </w:rPr>
              <w:instrText xml:space="preserve"> PAGEREF _Toc241908377 \h </w:instrText>
            </w:r>
            <w:r w:rsidRPr="00C51EF0">
              <w:rPr>
                <w:noProof/>
              </w:rPr>
            </w:r>
            <w:r w:rsidRPr="00C51EF0">
              <w:rPr>
                <w:noProof/>
              </w:rPr>
              <w:fldChar w:fldCharType="separate"/>
            </w:r>
            <w:r w:rsidRPr="00C51EF0">
              <w:rPr>
                <w:noProof/>
              </w:rPr>
              <w:t>4</w:t>
            </w:r>
            <w:r w:rsidRPr="00C51EF0">
              <w:rPr>
                <w:noProof/>
              </w:rPr>
              <w:fldChar w:fldCharType="end"/>
            </w:r>
          </w:hyperlink>
        </w:p>
        <w:p w:rsidR="00C51EF0" w:rsidRPr="00C51EF0" w:rsidRDefault="00C51EF0">
          <w:pPr>
            <w:pStyle w:val="TOC2"/>
            <w:tabs>
              <w:tab w:val="right" w:leader="dot" w:pos="9016"/>
            </w:tabs>
            <w:rPr>
              <w:noProof/>
            </w:rPr>
          </w:pPr>
          <w:hyperlink w:anchor="_Toc241908378" w:history="1">
            <w:r w:rsidRPr="00C51EF0">
              <w:rPr>
                <w:rStyle w:val="Hyperlink"/>
                <w:noProof/>
                <w:color w:val="auto"/>
              </w:rPr>
              <w:t>1.7 What Archaeology Can Do for Biblical Studies</w:t>
            </w:r>
            <w:r w:rsidRPr="00C51EF0">
              <w:rPr>
                <w:noProof/>
              </w:rPr>
              <w:tab/>
            </w:r>
            <w:r w:rsidRPr="00C51EF0">
              <w:rPr>
                <w:noProof/>
              </w:rPr>
              <w:fldChar w:fldCharType="begin"/>
            </w:r>
            <w:r w:rsidRPr="00C51EF0">
              <w:rPr>
                <w:noProof/>
              </w:rPr>
              <w:instrText xml:space="preserve"> PAGEREF _Toc241908378 \h </w:instrText>
            </w:r>
            <w:r w:rsidRPr="00C51EF0">
              <w:rPr>
                <w:noProof/>
              </w:rPr>
            </w:r>
            <w:r w:rsidRPr="00C51EF0">
              <w:rPr>
                <w:noProof/>
              </w:rPr>
              <w:fldChar w:fldCharType="separate"/>
            </w:r>
            <w:r w:rsidRPr="00C51EF0">
              <w:rPr>
                <w:noProof/>
              </w:rPr>
              <w:t>5</w:t>
            </w:r>
            <w:r w:rsidRPr="00C51EF0">
              <w:rPr>
                <w:noProof/>
              </w:rPr>
              <w:fldChar w:fldCharType="end"/>
            </w:r>
          </w:hyperlink>
        </w:p>
        <w:p w:rsidR="00C51EF0" w:rsidRPr="00C51EF0" w:rsidRDefault="00C51EF0">
          <w:pPr>
            <w:pStyle w:val="TOC2"/>
            <w:tabs>
              <w:tab w:val="right" w:leader="dot" w:pos="9016"/>
            </w:tabs>
            <w:rPr>
              <w:noProof/>
            </w:rPr>
          </w:pPr>
          <w:hyperlink w:anchor="_Toc241908379" w:history="1">
            <w:r w:rsidRPr="00C51EF0">
              <w:rPr>
                <w:rStyle w:val="Hyperlink"/>
                <w:noProof/>
                <w:color w:val="auto"/>
              </w:rPr>
              <w:t>1.8 The Limits of Archaeology</w:t>
            </w:r>
            <w:r w:rsidRPr="00C51EF0">
              <w:rPr>
                <w:noProof/>
              </w:rPr>
              <w:tab/>
            </w:r>
            <w:r w:rsidRPr="00C51EF0">
              <w:rPr>
                <w:noProof/>
              </w:rPr>
              <w:fldChar w:fldCharType="begin"/>
            </w:r>
            <w:r w:rsidRPr="00C51EF0">
              <w:rPr>
                <w:noProof/>
              </w:rPr>
              <w:instrText xml:space="preserve"> PAGEREF _Toc241908379 \h </w:instrText>
            </w:r>
            <w:r w:rsidRPr="00C51EF0">
              <w:rPr>
                <w:noProof/>
              </w:rPr>
            </w:r>
            <w:r w:rsidRPr="00C51EF0">
              <w:rPr>
                <w:noProof/>
              </w:rPr>
              <w:fldChar w:fldCharType="separate"/>
            </w:r>
            <w:r w:rsidRPr="00C51EF0">
              <w:rPr>
                <w:noProof/>
              </w:rPr>
              <w:t>6</w:t>
            </w:r>
            <w:r w:rsidRPr="00C51EF0">
              <w:rPr>
                <w:noProof/>
              </w:rPr>
              <w:fldChar w:fldCharType="end"/>
            </w:r>
          </w:hyperlink>
        </w:p>
        <w:p w:rsidR="00C51EF0" w:rsidRPr="00C51EF0" w:rsidRDefault="00C51EF0">
          <w:pPr>
            <w:pStyle w:val="TOC2"/>
            <w:tabs>
              <w:tab w:val="right" w:leader="dot" w:pos="9016"/>
            </w:tabs>
            <w:rPr>
              <w:noProof/>
            </w:rPr>
          </w:pPr>
          <w:hyperlink w:anchor="_Toc241908380" w:history="1">
            <w:r w:rsidRPr="00C51EF0">
              <w:rPr>
                <w:rStyle w:val="Hyperlink"/>
                <w:noProof/>
                <w:color w:val="auto"/>
              </w:rPr>
              <w:t>1.9 Archaeology and Faith</w:t>
            </w:r>
            <w:r w:rsidRPr="00C51EF0">
              <w:rPr>
                <w:noProof/>
              </w:rPr>
              <w:tab/>
            </w:r>
            <w:r w:rsidRPr="00C51EF0">
              <w:rPr>
                <w:noProof/>
              </w:rPr>
              <w:fldChar w:fldCharType="begin"/>
            </w:r>
            <w:r w:rsidRPr="00C51EF0">
              <w:rPr>
                <w:noProof/>
              </w:rPr>
              <w:instrText xml:space="preserve"> PAGEREF _Toc241908380 \h </w:instrText>
            </w:r>
            <w:r w:rsidRPr="00C51EF0">
              <w:rPr>
                <w:noProof/>
              </w:rPr>
            </w:r>
            <w:r w:rsidRPr="00C51EF0">
              <w:rPr>
                <w:noProof/>
              </w:rPr>
              <w:fldChar w:fldCharType="separate"/>
            </w:r>
            <w:r w:rsidRPr="00C51EF0">
              <w:rPr>
                <w:noProof/>
              </w:rPr>
              <w:t>7</w:t>
            </w:r>
            <w:r w:rsidRPr="00C51EF0">
              <w:rPr>
                <w:noProof/>
              </w:rPr>
              <w:fldChar w:fldCharType="end"/>
            </w:r>
          </w:hyperlink>
        </w:p>
        <w:p w:rsidR="00C51EF0" w:rsidRPr="00C51EF0" w:rsidRDefault="00C51EF0">
          <w:pPr>
            <w:pStyle w:val="TOC2"/>
            <w:tabs>
              <w:tab w:val="right" w:leader="dot" w:pos="9016"/>
            </w:tabs>
            <w:rPr>
              <w:noProof/>
            </w:rPr>
          </w:pPr>
          <w:hyperlink w:anchor="_Toc241908381" w:history="1">
            <w:r w:rsidRPr="00C51EF0">
              <w:rPr>
                <w:rStyle w:val="Hyperlink"/>
                <w:noProof/>
                <w:color w:val="auto"/>
              </w:rPr>
              <w:t>1.10 Summary</w:t>
            </w:r>
            <w:r w:rsidRPr="00C51EF0">
              <w:rPr>
                <w:noProof/>
              </w:rPr>
              <w:tab/>
            </w:r>
            <w:r w:rsidRPr="00C51EF0">
              <w:rPr>
                <w:noProof/>
              </w:rPr>
              <w:fldChar w:fldCharType="begin"/>
            </w:r>
            <w:r w:rsidRPr="00C51EF0">
              <w:rPr>
                <w:noProof/>
              </w:rPr>
              <w:instrText xml:space="preserve"> PAGEREF _Toc241908381 \h </w:instrText>
            </w:r>
            <w:r w:rsidRPr="00C51EF0">
              <w:rPr>
                <w:noProof/>
              </w:rPr>
            </w:r>
            <w:r w:rsidRPr="00C51EF0">
              <w:rPr>
                <w:noProof/>
              </w:rPr>
              <w:fldChar w:fldCharType="separate"/>
            </w:r>
            <w:r w:rsidRPr="00C51EF0">
              <w:rPr>
                <w:noProof/>
              </w:rPr>
              <w:t>8</w:t>
            </w:r>
            <w:r w:rsidRPr="00C51EF0">
              <w:rPr>
                <w:noProof/>
              </w:rPr>
              <w:fldChar w:fldCharType="end"/>
            </w:r>
          </w:hyperlink>
        </w:p>
        <w:p w:rsidR="00C51EF0" w:rsidRPr="00C51EF0" w:rsidRDefault="00C51EF0">
          <w:pPr>
            <w:pStyle w:val="TOC2"/>
            <w:tabs>
              <w:tab w:val="right" w:leader="dot" w:pos="9016"/>
            </w:tabs>
            <w:rPr>
              <w:noProof/>
            </w:rPr>
          </w:pPr>
          <w:hyperlink w:anchor="_Toc241908382" w:history="1">
            <w:r w:rsidRPr="00C51EF0">
              <w:rPr>
                <w:rStyle w:val="Hyperlink"/>
                <w:noProof/>
                <w:color w:val="auto"/>
              </w:rPr>
              <w:t>1.11 Life Application</w:t>
            </w:r>
            <w:r w:rsidRPr="00C51EF0">
              <w:rPr>
                <w:noProof/>
              </w:rPr>
              <w:tab/>
            </w:r>
            <w:r w:rsidRPr="00C51EF0">
              <w:rPr>
                <w:noProof/>
              </w:rPr>
              <w:fldChar w:fldCharType="begin"/>
            </w:r>
            <w:r w:rsidRPr="00C51EF0">
              <w:rPr>
                <w:noProof/>
              </w:rPr>
              <w:instrText xml:space="preserve"> PAGEREF _Toc241908382 \h </w:instrText>
            </w:r>
            <w:r w:rsidRPr="00C51EF0">
              <w:rPr>
                <w:noProof/>
              </w:rPr>
            </w:r>
            <w:r w:rsidRPr="00C51EF0">
              <w:rPr>
                <w:noProof/>
              </w:rPr>
              <w:fldChar w:fldCharType="separate"/>
            </w:r>
            <w:r w:rsidRPr="00C51EF0">
              <w:rPr>
                <w:noProof/>
              </w:rPr>
              <w:t>8</w:t>
            </w:r>
            <w:r w:rsidRPr="00C51EF0">
              <w:rPr>
                <w:noProof/>
              </w:rPr>
              <w:fldChar w:fldCharType="end"/>
            </w:r>
          </w:hyperlink>
        </w:p>
        <w:p w:rsidR="00C51EF0" w:rsidRPr="00C51EF0" w:rsidRDefault="00C51EF0">
          <w:pPr>
            <w:pStyle w:val="TOC2"/>
            <w:tabs>
              <w:tab w:val="right" w:leader="dot" w:pos="9016"/>
            </w:tabs>
            <w:rPr>
              <w:noProof/>
            </w:rPr>
          </w:pPr>
          <w:hyperlink w:anchor="_Toc241908383" w:history="1">
            <w:r w:rsidRPr="00C51EF0">
              <w:rPr>
                <w:rStyle w:val="Hyperlink"/>
                <w:noProof/>
                <w:color w:val="auto"/>
              </w:rPr>
              <w:t>1.12 Discussion Questions</w:t>
            </w:r>
            <w:r w:rsidRPr="00C51EF0">
              <w:rPr>
                <w:noProof/>
              </w:rPr>
              <w:tab/>
            </w:r>
            <w:r w:rsidRPr="00C51EF0">
              <w:rPr>
                <w:noProof/>
              </w:rPr>
              <w:fldChar w:fldCharType="begin"/>
            </w:r>
            <w:r w:rsidRPr="00C51EF0">
              <w:rPr>
                <w:noProof/>
              </w:rPr>
              <w:instrText xml:space="preserve"> PAGEREF _Toc241908383 \h </w:instrText>
            </w:r>
            <w:r w:rsidRPr="00C51EF0">
              <w:rPr>
                <w:noProof/>
              </w:rPr>
            </w:r>
            <w:r w:rsidRPr="00C51EF0">
              <w:rPr>
                <w:noProof/>
              </w:rPr>
              <w:fldChar w:fldCharType="separate"/>
            </w:r>
            <w:r w:rsidRPr="00C51EF0">
              <w:rPr>
                <w:noProof/>
              </w:rPr>
              <w:t>9</w:t>
            </w:r>
            <w:r w:rsidRPr="00C51EF0">
              <w:rPr>
                <w:noProof/>
              </w:rPr>
              <w:fldChar w:fldCharType="end"/>
            </w:r>
          </w:hyperlink>
        </w:p>
        <w:p w:rsidR="00C51EF0" w:rsidRPr="00C51EF0" w:rsidRDefault="00C51EF0">
          <w:pPr>
            <w:pStyle w:val="TOC2"/>
            <w:tabs>
              <w:tab w:val="right" w:leader="dot" w:pos="9016"/>
            </w:tabs>
            <w:rPr>
              <w:noProof/>
            </w:rPr>
          </w:pPr>
          <w:hyperlink w:anchor="_Toc241908384" w:history="1">
            <w:r w:rsidRPr="00C51EF0">
              <w:rPr>
                <w:rStyle w:val="Hyperlink"/>
                <w:noProof/>
                <w:color w:val="auto"/>
              </w:rPr>
              <w:t>1.13 Further Reading</w:t>
            </w:r>
            <w:r w:rsidRPr="00C51EF0">
              <w:rPr>
                <w:noProof/>
              </w:rPr>
              <w:tab/>
            </w:r>
            <w:r w:rsidRPr="00C51EF0">
              <w:rPr>
                <w:noProof/>
              </w:rPr>
              <w:fldChar w:fldCharType="begin"/>
            </w:r>
            <w:r w:rsidRPr="00C51EF0">
              <w:rPr>
                <w:noProof/>
              </w:rPr>
              <w:instrText xml:space="preserve"> PAGEREF _Toc241908384 \h </w:instrText>
            </w:r>
            <w:r w:rsidRPr="00C51EF0">
              <w:rPr>
                <w:noProof/>
              </w:rPr>
            </w:r>
            <w:r w:rsidRPr="00C51EF0">
              <w:rPr>
                <w:noProof/>
              </w:rPr>
              <w:fldChar w:fldCharType="separate"/>
            </w:r>
            <w:r w:rsidRPr="00C51EF0">
              <w:rPr>
                <w:noProof/>
              </w:rPr>
              <w:t>9</w:t>
            </w:r>
            <w:r w:rsidRPr="00C51EF0">
              <w:rPr>
                <w:noProof/>
              </w:rPr>
              <w:fldChar w:fldCharType="end"/>
            </w:r>
          </w:hyperlink>
        </w:p>
        <w:p w:rsidR="00C51EF0" w:rsidRPr="00C51EF0" w:rsidRDefault="00C51EF0">
          <w:pPr>
            <w:pStyle w:val="TOC1"/>
            <w:tabs>
              <w:tab w:val="right" w:leader="dot" w:pos="9016"/>
            </w:tabs>
            <w:rPr>
              <w:noProof/>
            </w:rPr>
          </w:pPr>
          <w:hyperlink w:anchor="_Toc241908385" w:history="1">
            <w:r w:rsidRPr="00C51EF0">
              <w:rPr>
                <w:rStyle w:val="Hyperlink"/>
                <w:noProof/>
                <w:color w:val="auto"/>
              </w:rPr>
              <w:t>UNIT TWO: THE HISTORY OF BIBLICAL ARCHAEOLOGY</w:t>
            </w:r>
            <w:r w:rsidRPr="00C51EF0">
              <w:rPr>
                <w:noProof/>
              </w:rPr>
              <w:tab/>
            </w:r>
            <w:r w:rsidRPr="00C51EF0">
              <w:rPr>
                <w:noProof/>
              </w:rPr>
              <w:fldChar w:fldCharType="begin"/>
            </w:r>
            <w:r w:rsidRPr="00C51EF0">
              <w:rPr>
                <w:noProof/>
              </w:rPr>
              <w:instrText xml:space="preserve"> PAGEREF _Toc241908385 \h </w:instrText>
            </w:r>
            <w:r w:rsidRPr="00C51EF0">
              <w:rPr>
                <w:noProof/>
              </w:rPr>
            </w:r>
            <w:r w:rsidRPr="00C51EF0">
              <w:rPr>
                <w:noProof/>
              </w:rPr>
              <w:fldChar w:fldCharType="separate"/>
            </w:r>
            <w:r w:rsidRPr="00C51EF0">
              <w:rPr>
                <w:noProof/>
              </w:rPr>
              <w:t>10</w:t>
            </w:r>
            <w:r w:rsidRPr="00C51EF0">
              <w:rPr>
                <w:noProof/>
              </w:rPr>
              <w:fldChar w:fldCharType="end"/>
            </w:r>
          </w:hyperlink>
        </w:p>
        <w:p w:rsidR="00C51EF0" w:rsidRPr="00C51EF0" w:rsidRDefault="00C51EF0">
          <w:pPr>
            <w:pStyle w:val="TOC2"/>
            <w:tabs>
              <w:tab w:val="right" w:leader="dot" w:pos="9016"/>
            </w:tabs>
            <w:rPr>
              <w:noProof/>
            </w:rPr>
          </w:pPr>
          <w:hyperlink w:anchor="_Toc241908386" w:history="1">
            <w:r w:rsidRPr="00C51EF0">
              <w:rPr>
                <w:rStyle w:val="Hyperlink"/>
                <w:noProof/>
                <w:color w:val="auto"/>
              </w:rPr>
              <w:t>2.1 Introduction</w:t>
            </w:r>
            <w:r w:rsidRPr="00C51EF0">
              <w:rPr>
                <w:noProof/>
              </w:rPr>
              <w:tab/>
            </w:r>
            <w:r w:rsidRPr="00C51EF0">
              <w:rPr>
                <w:noProof/>
              </w:rPr>
              <w:fldChar w:fldCharType="begin"/>
            </w:r>
            <w:r w:rsidRPr="00C51EF0">
              <w:rPr>
                <w:noProof/>
              </w:rPr>
              <w:instrText xml:space="preserve"> PAGEREF _Toc241908386 \h </w:instrText>
            </w:r>
            <w:r w:rsidRPr="00C51EF0">
              <w:rPr>
                <w:noProof/>
              </w:rPr>
            </w:r>
            <w:r w:rsidRPr="00C51EF0">
              <w:rPr>
                <w:noProof/>
              </w:rPr>
              <w:fldChar w:fldCharType="separate"/>
            </w:r>
            <w:r w:rsidRPr="00C51EF0">
              <w:rPr>
                <w:noProof/>
              </w:rPr>
              <w:t>10</w:t>
            </w:r>
            <w:r w:rsidRPr="00C51EF0">
              <w:rPr>
                <w:noProof/>
              </w:rPr>
              <w:fldChar w:fldCharType="end"/>
            </w:r>
          </w:hyperlink>
        </w:p>
        <w:p w:rsidR="00C51EF0" w:rsidRPr="00C51EF0" w:rsidRDefault="00C51EF0">
          <w:pPr>
            <w:pStyle w:val="TOC2"/>
            <w:tabs>
              <w:tab w:val="right" w:leader="dot" w:pos="9016"/>
            </w:tabs>
            <w:rPr>
              <w:noProof/>
            </w:rPr>
          </w:pPr>
          <w:hyperlink w:anchor="_Toc241908387" w:history="1">
            <w:r w:rsidRPr="00C51EF0">
              <w:rPr>
                <w:rStyle w:val="Hyperlink"/>
                <w:noProof/>
                <w:color w:val="auto"/>
              </w:rPr>
              <w:t>2.2 Learning Objectives</w:t>
            </w:r>
            <w:r w:rsidRPr="00C51EF0">
              <w:rPr>
                <w:noProof/>
              </w:rPr>
              <w:tab/>
            </w:r>
            <w:r w:rsidRPr="00C51EF0">
              <w:rPr>
                <w:noProof/>
              </w:rPr>
              <w:fldChar w:fldCharType="begin"/>
            </w:r>
            <w:r w:rsidRPr="00C51EF0">
              <w:rPr>
                <w:noProof/>
              </w:rPr>
              <w:instrText xml:space="preserve"> PAGEREF _Toc241908387 \h </w:instrText>
            </w:r>
            <w:r w:rsidRPr="00C51EF0">
              <w:rPr>
                <w:noProof/>
              </w:rPr>
            </w:r>
            <w:r w:rsidRPr="00C51EF0">
              <w:rPr>
                <w:noProof/>
              </w:rPr>
              <w:fldChar w:fldCharType="separate"/>
            </w:r>
            <w:r w:rsidRPr="00C51EF0">
              <w:rPr>
                <w:noProof/>
              </w:rPr>
              <w:t>10</w:t>
            </w:r>
            <w:r w:rsidRPr="00C51EF0">
              <w:rPr>
                <w:noProof/>
              </w:rPr>
              <w:fldChar w:fldCharType="end"/>
            </w:r>
          </w:hyperlink>
        </w:p>
        <w:p w:rsidR="00C51EF0" w:rsidRPr="00C51EF0" w:rsidRDefault="00C51EF0">
          <w:pPr>
            <w:pStyle w:val="TOC2"/>
            <w:tabs>
              <w:tab w:val="right" w:leader="dot" w:pos="9016"/>
            </w:tabs>
            <w:rPr>
              <w:noProof/>
            </w:rPr>
          </w:pPr>
          <w:hyperlink w:anchor="_Toc241908388" w:history="1">
            <w:r w:rsidRPr="00C51EF0">
              <w:rPr>
                <w:rStyle w:val="Hyperlink"/>
                <w:noProof/>
                <w:color w:val="auto"/>
              </w:rPr>
              <w:t>2.3 Before Archaeology: Pilgrims and Travellers</w:t>
            </w:r>
            <w:r w:rsidRPr="00C51EF0">
              <w:rPr>
                <w:noProof/>
              </w:rPr>
              <w:tab/>
            </w:r>
            <w:r w:rsidRPr="00C51EF0">
              <w:rPr>
                <w:noProof/>
              </w:rPr>
              <w:fldChar w:fldCharType="begin"/>
            </w:r>
            <w:r w:rsidRPr="00C51EF0">
              <w:rPr>
                <w:noProof/>
              </w:rPr>
              <w:instrText xml:space="preserve"> PAGEREF _Toc241908388 \h </w:instrText>
            </w:r>
            <w:r w:rsidRPr="00C51EF0">
              <w:rPr>
                <w:noProof/>
              </w:rPr>
            </w:r>
            <w:r w:rsidRPr="00C51EF0">
              <w:rPr>
                <w:noProof/>
              </w:rPr>
              <w:fldChar w:fldCharType="separate"/>
            </w:r>
            <w:r w:rsidRPr="00C51EF0">
              <w:rPr>
                <w:noProof/>
              </w:rPr>
              <w:t>10</w:t>
            </w:r>
            <w:r w:rsidRPr="00C51EF0">
              <w:rPr>
                <w:noProof/>
              </w:rPr>
              <w:fldChar w:fldCharType="end"/>
            </w:r>
          </w:hyperlink>
        </w:p>
        <w:p w:rsidR="00C51EF0" w:rsidRPr="00C51EF0" w:rsidRDefault="00C51EF0">
          <w:pPr>
            <w:pStyle w:val="TOC2"/>
            <w:tabs>
              <w:tab w:val="right" w:leader="dot" w:pos="9016"/>
            </w:tabs>
            <w:rPr>
              <w:noProof/>
            </w:rPr>
          </w:pPr>
          <w:hyperlink w:anchor="_Toc241908389" w:history="1">
            <w:r w:rsidRPr="00C51EF0">
              <w:rPr>
                <w:rStyle w:val="Hyperlink"/>
                <w:noProof/>
                <w:color w:val="auto"/>
              </w:rPr>
              <w:t>2.4 The Age of Exploration (1838–1890)</w:t>
            </w:r>
            <w:r w:rsidRPr="00C51EF0">
              <w:rPr>
                <w:noProof/>
              </w:rPr>
              <w:tab/>
            </w:r>
            <w:r w:rsidRPr="00C51EF0">
              <w:rPr>
                <w:noProof/>
              </w:rPr>
              <w:fldChar w:fldCharType="begin"/>
            </w:r>
            <w:r w:rsidRPr="00C51EF0">
              <w:rPr>
                <w:noProof/>
              </w:rPr>
              <w:instrText xml:space="preserve"> PAGEREF _Toc241908389 \h </w:instrText>
            </w:r>
            <w:r w:rsidRPr="00C51EF0">
              <w:rPr>
                <w:noProof/>
              </w:rPr>
            </w:r>
            <w:r w:rsidRPr="00C51EF0">
              <w:rPr>
                <w:noProof/>
              </w:rPr>
              <w:fldChar w:fldCharType="separate"/>
            </w:r>
            <w:r w:rsidRPr="00C51EF0">
              <w:rPr>
                <w:noProof/>
              </w:rPr>
              <w:t>11</w:t>
            </w:r>
            <w:r w:rsidRPr="00C51EF0">
              <w:rPr>
                <w:noProof/>
              </w:rPr>
              <w:fldChar w:fldCharType="end"/>
            </w:r>
          </w:hyperlink>
        </w:p>
        <w:p w:rsidR="00C51EF0" w:rsidRPr="00C51EF0" w:rsidRDefault="00C51EF0">
          <w:pPr>
            <w:pStyle w:val="TOC2"/>
            <w:tabs>
              <w:tab w:val="right" w:leader="dot" w:pos="9016"/>
            </w:tabs>
            <w:rPr>
              <w:noProof/>
            </w:rPr>
          </w:pPr>
          <w:hyperlink w:anchor="_Toc241908390" w:history="1">
            <w:r w:rsidRPr="00C51EF0">
              <w:rPr>
                <w:rStyle w:val="Hyperlink"/>
                <w:noProof/>
                <w:color w:val="auto"/>
              </w:rPr>
              <w:t>2.5 The Beginning of Scientific Excavation (1890–1914)</w:t>
            </w:r>
            <w:r w:rsidRPr="00C51EF0">
              <w:rPr>
                <w:noProof/>
              </w:rPr>
              <w:tab/>
            </w:r>
            <w:r w:rsidRPr="00C51EF0">
              <w:rPr>
                <w:noProof/>
              </w:rPr>
              <w:fldChar w:fldCharType="begin"/>
            </w:r>
            <w:r w:rsidRPr="00C51EF0">
              <w:rPr>
                <w:noProof/>
              </w:rPr>
              <w:instrText xml:space="preserve"> PAGEREF _Toc241908390 \h </w:instrText>
            </w:r>
            <w:r w:rsidRPr="00C51EF0">
              <w:rPr>
                <w:noProof/>
              </w:rPr>
            </w:r>
            <w:r w:rsidRPr="00C51EF0">
              <w:rPr>
                <w:noProof/>
              </w:rPr>
              <w:fldChar w:fldCharType="separate"/>
            </w:r>
            <w:r w:rsidRPr="00C51EF0">
              <w:rPr>
                <w:noProof/>
              </w:rPr>
              <w:t>11</w:t>
            </w:r>
            <w:r w:rsidRPr="00C51EF0">
              <w:rPr>
                <w:noProof/>
              </w:rPr>
              <w:fldChar w:fldCharType="end"/>
            </w:r>
          </w:hyperlink>
        </w:p>
        <w:p w:rsidR="00C51EF0" w:rsidRPr="00C51EF0" w:rsidRDefault="00C51EF0">
          <w:pPr>
            <w:pStyle w:val="TOC2"/>
            <w:tabs>
              <w:tab w:val="right" w:leader="dot" w:pos="9016"/>
            </w:tabs>
            <w:rPr>
              <w:noProof/>
            </w:rPr>
          </w:pPr>
          <w:hyperlink w:anchor="_Toc241908391" w:history="1">
            <w:r w:rsidRPr="00C51EF0">
              <w:rPr>
                <w:rStyle w:val="Hyperlink"/>
                <w:noProof/>
                <w:color w:val="auto"/>
              </w:rPr>
              <w:t>2.6 The Golden Age and the Albright School (1918–1967)</w:t>
            </w:r>
            <w:r w:rsidRPr="00C51EF0">
              <w:rPr>
                <w:noProof/>
              </w:rPr>
              <w:tab/>
            </w:r>
            <w:r w:rsidRPr="00C51EF0">
              <w:rPr>
                <w:noProof/>
              </w:rPr>
              <w:fldChar w:fldCharType="begin"/>
            </w:r>
            <w:r w:rsidRPr="00C51EF0">
              <w:rPr>
                <w:noProof/>
              </w:rPr>
              <w:instrText xml:space="preserve"> PAGEREF _Toc241908391 \h </w:instrText>
            </w:r>
            <w:r w:rsidRPr="00C51EF0">
              <w:rPr>
                <w:noProof/>
              </w:rPr>
            </w:r>
            <w:r w:rsidRPr="00C51EF0">
              <w:rPr>
                <w:noProof/>
              </w:rPr>
              <w:fldChar w:fldCharType="separate"/>
            </w:r>
            <w:r w:rsidRPr="00C51EF0">
              <w:rPr>
                <w:noProof/>
              </w:rPr>
              <w:t>12</w:t>
            </w:r>
            <w:r w:rsidRPr="00C51EF0">
              <w:rPr>
                <w:noProof/>
              </w:rPr>
              <w:fldChar w:fldCharType="end"/>
            </w:r>
          </w:hyperlink>
        </w:p>
        <w:p w:rsidR="00C51EF0" w:rsidRPr="00C51EF0" w:rsidRDefault="00C51EF0">
          <w:pPr>
            <w:pStyle w:val="TOC2"/>
            <w:tabs>
              <w:tab w:val="right" w:leader="dot" w:pos="9016"/>
            </w:tabs>
            <w:rPr>
              <w:noProof/>
            </w:rPr>
          </w:pPr>
          <w:hyperlink w:anchor="_Toc241908392" w:history="1">
            <w:r w:rsidRPr="00C51EF0">
              <w:rPr>
                <w:rStyle w:val="Hyperlink"/>
                <w:noProof/>
                <w:color w:val="auto"/>
              </w:rPr>
              <w:t>2.7 Crisis and Change (1967–1990)</w:t>
            </w:r>
            <w:r w:rsidRPr="00C51EF0">
              <w:rPr>
                <w:noProof/>
              </w:rPr>
              <w:tab/>
            </w:r>
            <w:r w:rsidRPr="00C51EF0">
              <w:rPr>
                <w:noProof/>
              </w:rPr>
              <w:fldChar w:fldCharType="begin"/>
            </w:r>
            <w:r w:rsidRPr="00C51EF0">
              <w:rPr>
                <w:noProof/>
              </w:rPr>
              <w:instrText xml:space="preserve"> PAGEREF _Toc241908392 \h </w:instrText>
            </w:r>
            <w:r w:rsidRPr="00C51EF0">
              <w:rPr>
                <w:noProof/>
              </w:rPr>
            </w:r>
            <w:r w:rsidRPr="00C51EF0">
              <w:rPr>
                <w:noProof/>
              </w:rPr>
              <w:fldChar w:fldCharType="separate"/>
            </w:r>
            <w:r w:rsidRPr="00C51EF0">
              <w:rPr>
                <w:noProof/>
              </w:rPr>
              <w:t>13</w:t>
            </w:r>
            <w:r w:rsidRPr="00C51EF0">
              <w:rPr>
                <w:noProof/>
              </w:rPr>
              <w:fldChar w:fldCharType="end"/>
            </w:r>
          </w:hyperlink>
        </w:p>
        <w:p w:rsidR="00C51EF0" w:rsidRPr="00C51EF0" w:rsidRDefault="00C51EF0">
          <w:pPr>
            <w:pStyle w:val="TOC2"/>
            <w:tabs>
              <w:tab w:val="right" w:leader="dot" w:pos="9016"/>
            </w:tabs>
            <w:rPr>
              <w:noProof/>
            </w:rPr>
          </w:pPr>
          <w:hyperlink w:anchor="_Toc241908393" w:history="1">
            <w:r w:rsidRPr="00C51EF0">
              <w:rPr>
                <w:rStyle w:val="Hyperlink"/>
                <w:noProof/>
                <w:color w:val="auto"/>
              </w:rPr>
              <w:t>2.8 The Minimalist Debate (1990–2010)</w:t>
            </w:r>
            <w:r w:rsidRPr="00C51EF0">
              <w:rPr>
                <w:noProof/>
              </w:rPr>
              <w:tab/>
            </w:r>
            <w:r w:rsidRPr="00C51EF0">
              <w:rPr>
                <w:noProof/>
              </w:rPr>
              <w:fldChar w:fldCharType="begin"/>
            </w:r>
            <w:r w:rsidRPr="00C51EF0">
              <w:rPr>
                <w:noProof/>
              </w:rPr>
              <w:instrText xml:space="preserve"> PAGEREF _Toc241908393 \h </w:instrText>
            </w:r>
            <w:r w:rsidRPr="00C51EF0">
              <w:rPr>
                <w:noProof/>
              </w:rPr>
            </w:r>
            <w:r w:rsidRPr="00C51EF0">
              <w:rPr>
                <w:noProof/>
              </w:rPr>
              <w:fldChar w:fldCharType="separate"/>
            </w:r>
            <w:r w:rsidRPr="00C51EF0">
              <w:rPr>
                <w:noProof/>
              </w:rPr>
              <w:t>14</w:t>
            </w:r>
            <w:r w:rsidRPr="00C51EF0">
              <w:rPr>
                <w:noProof/>
              </w:rPr>
              <w:fldChar w:fldCharType="end"/>
            </w:r>
          </w:hyperlink>
        </w:p>
        <w:p w:rsidR="00C51EF0" w:rsidRPr="00C51EF0" w:rsidRDefault="00C51EF0">
          <w:pPr>
            <w:pStyle w:val="TOC2"/>
            <w:tabs>
              <w:tab w:val="right" w:leader="dot" w:pos="9016"/>
            </w:tabs>
            <w:rPr>
              <w:noProof/>
            </w:rPr>
          </w:pPr>
          <w:hyperlink w:anchor="_Toc241908394" w:history="1">
            <w:r w:rsidRPr="00C51EF0">
              <w:rPr>
                <w:rStyle w:val="Hyperlink"/>
                <w:noProof/>
                <w:color w:val="auto"/>
              </w:rPr>
              <w:t>2.9 Biblical Archaeology Today</w:t>
            </w:r>
            <w:r w:rsidRPr="00C51EF0">
              <w:rPr>
                <w:noProof/>
              </w:rPr>
              <w:tab/>
            </w:r>
            <w:r w:rsidRPr="00C51EF0">
              <w:rPr>
                <w:noProof/>
              </w:rPr>
              <w:fldChar w:fldCharType="begin"/>
            </w:r>
            <w:r w:rsidRPr="00C51EF0">
              <w:rPr>
                <w:noProof/>
              </w:rPr>
              <w:instrText xml:space="preserve"> PAGEREF _Toc241908394 \h </w:instrText>
            </w:r>
            <w:r w:rsidRPr="00C51EF0">
              <w:rPr>
                <w:noProof/>
              </w:rPr>
            </w:r>
            <w:r w:rsidRPr="00C51EF0">
              <w:rPr>
                <w:noProof/>
              </w:rPr>
              <w:fldChar w:fldCharType="separate"/>
            </w:r>
            <w:r w:rsidRPr="00C51EF0">
              <w:rPr>
                <w:noProof/>
              </w:rPr>
              <w:t>14</w:t>
            </w:r>
            <w:r w:rsidRPr="00C51EF0">
              <w:rPr>
                <w:noProof/>
              </w:rPr>
              <w:fldChar w:fldCharType="end"/>
            </w:r>
          </w:hyperlink>
        </w:p>
        <w:p w:rsidR="00C51EF0" w:rsidRPr="00C51EF0" w:rsidRDefault="00C51EF0">
          <w:pPr>
            <w:pStyle w:val="TOC2"/>
            <w:tabs>
              <w:tab w:val="right" w:leader="dot" w:pos="9016"/>
            </w:tabs>
            <w:rPr>
              <w:noProof/>
            </w:rPr>
          </w:pPr>
          <w:hyperlink w:anchor="_Toc241908395" w:history="1">
            <w:r w:rsidRPr="00C51EF0">
              <w:rPr>
                <w:rStyle w:val="Hyperlink"/>
                <w:noProof/>
                <w:color w:val="auto"/>
              </w:rPr>
              <w:t>2.10 Summary</w:t>
            </w:r>
            <w:r w:rsidRPr="00C51EF0">
              <w:rPr>
                <w:noProof/>
              </w:rPr>
              <w:tab/>
            </w:r>
            <w:r w:rsidRPr="00C51EF0">
              <w:rPr>
                <w:noProof/>
              </w:rPr>
              <w:fldChar w:fldCharType="begin"/>
            </w:r>
            <w:r w:rsidRPr="00C51EF0">
              <w:rPr>
                <w:noProof/>
              </w:rPr>
              <w:instrText xml:space="preserve"> PAGEREF _Toc241908395 \h </w:instrText>
            </w:r>
            <w:r w:rsidRPr="00C51EF0">
              <w:rPr>
                <w:noProof/>
              </w:rPr>
            </w:r>
            <w:r w:rsidRPr="00C51EF0">
              <w:rPr>
                <w:noProof/>
              </w:rPr>
              <w:fldChar w:fldCharType="separate"/>
            </w:r>
            <w:r w:rsidRPr="00C51EF0">
              <w:rPr>
                <w:noProof/>
              </w:rPr>
              <w:t>15</w:t>
            </w:r>
            <w:r w:rsidRPr="00C51EF0">
              <w:rPr>
                <w:noProof/>
              </w:rPr>
              <w:fldChar w:fldCharType="end"/>
            </w:r>
          </w:hyperlink>
        </w:p>
        <w:p w:rsidR="00C51EF0" w:rsidRPr="00C51EF0" w:rsidRDefault="00C51EF0">
          <w:pPr>
            <w:pStyle w:val="TOC2"/>
            <w:tabs>
              <w:tab w:val="right" w:leader="dot" w:pos="9016"/>
            </w:tabs>
            <w:rPr>
              <w:noProof/>
            </w:rPr>
          </w:pPr>
          <w:hyperlink w:anchor="_Toc241908396" w:history="1">
            <w:r w:rsidRPr="00C51EF0">
              <w:rPr>
                <w:rStyle w:val="Hyperlink"/>
                <w:noProof/>
                <w:color w:val="auto"/>
              </w:rPr>
              <w:t>2.11 Life Application</w:t>
            </w:r>
            <w:r w:rsidRPr="00C51EF0">
              <w:rPr>
                <w:noProof/>
              </w:rPr>
              <w:tab/>
            </w:r>
            <w:r w:rsidRPr="00C51EF0">
              <w:rPr>
                <w:noProof/>
              </w:rPr>
              <w:fldChar w:fldCharType="begin"/>
            </w:r>
            <w:r w:rsidRPr="00C51EF0">
              <w:rPr>
                <w:noProof/>
              </w:rPr>
              <w:instrText xml:space="preserve"> PAGEREF _Toc241908396 \h </w:instrText>
            </w:r>
            <w:r w:rsidRPr="00C51EF0">
              <w:rPr>
                <w:noProof/>
              </w:rPr>
            </w:r>
            <w:r w:rsidRPr="00C51EF0">
              <w:rPr>
                <w:noProof/>
              </w:rPr>
              <w:fldChar w:fldCharType="separate"/>
            </w:r>
            <w:r w:rsidRPr="00C51EF0">
              <w:rPr>
                <w:noProof/>
              </w:rPr>
              <w:t>15</w:t>
            </w:r>
            <w:r w:rsidRPr="00C51EF0">
              <w:rPr>
                <w:noProof/>
              </w:rPr>
              <w:fldChar w:fldCharType="end"/>
            </w:r>
          </w:hyperlink>
        </w:p>
        <w:p w:rsidR="00C51EF0" w:rsidRPr="00C51EF0" w:rsidRDefault="00C51EF0">
          <w:pPr>
            <w:pStyle w:val="TOC2"/>
            <w:tabs>
              <w:tab w:val="right" w:leader="dot" w:pos="9016"/>
            </w:tabs>
            <w:rPr>
              <w:noProof/>
            </w:rPr>
          </w:pPr>
          <w:hyperlink w:anchor="_Toc241908397" w:history="1">
            <w:r w:rsidRPr="00C51EF0">
              <w:rPr>
                <w:rStyle w:val="Hyperlink"/>
                <w:noProof/>
                <w:color w:val="auto"/>
              </w:rPr>
              <w:t>2.12 Discussion Questions</w:t>
            </w:r>
            <w:r w:rsidRPr="00C51EF0">
              <w:rPr>
                <w:noProof/>
              </w:rPr>
              <w:tab/>
            </w:r>
            <w:r w:rsidRPr="00C51EF0">
              <w:rPr>
                <w:noProof/>
              </w:rPr>
              <w:fldChar w:fldCharType="begin"/>
            </w:r>
            <w:r w:rsidRPr="00C51EF0">
              <w:rPr>
                <w:noProof/>
              </w:rPr>
              <w:instrText xml:space="preserve"> PAGEREF _Toc241908397 \h </w:instrText>
            </w:r>
            <w:r w:rsidRPr="00C51EF0">
              <w:rPr>
                <w:noProof/>
              </w:rPr>
            </w:r>
            <w:r w:rsidRPr="00C51EF0">
              <w:rPr>
                <w:noProof/>
              </w:rPr>
              <w:fldChar w:fldCharType="separate"/>
            </w:r>
            <w:r w:rsidRPr="00C51EF0">
              <w:rPr>
                <w:noProof/>
              </w:rPr>
              <w:t>16</w:t>
            </w:r>
            <w:r w:rsidRPr="00C51EF0">
              <w:rPr>
                <w:noProof/>
              </w:rPr>
              <w:fldChar w:fldCharType="end"/>
            </w:r>
          </w:hyperlink>
        </w:p>
        <w:p w:rsidR="00C51EF0" w:rsidRPr="00C51EF0" w:rsidRDefault="00C51EF0">
          <w:pPr>
            <w:pStyle w:val="TOC2"/>
            <w:tabs>
              <w:tab w:val="right" w:leader="dot" w:pos="9016"/>
            </w:tabs>
            <w:rPr>
              <w:noProof/>
            </w:rPr>
          </w:pPr>
          <w:hyperlink w:anchor="_Toc241908398" w:history="1">
            <w:r w:rsidRPr="00C51EF0">
              <w:rPr>
                <w:rStyle w:val="Hyperlink"/>
                <w:noProof/>
                <w:color w:val="auto"/>
              </w:rPr>
              <w:t>2.13 Further Reading</w:t>
            </w:r>
            <w:r w:rsidRPr="00C51EF0">
              <w:rPr>
                <w:noProof/>
              </w:rPr>
              <w:tab/>
            </w:r>
            <w:r w:rsidRPr="00C51EF0">
              <w:rPr>
                <w:noProof/>
              </w:rPr>
              <w:fldChar w:fldCharType="begin"/>
            </w:r>
            <w:r w:rsidRPr="00C51EF0">
              <w:rPr>
                <w:noProof/>
              </w:rPr>
              <w:instrText xml:space="preserve"> PAGEREF _Toc241908398 \h </w:instrText>
            </w:r>
            <w:r w:rsidRPr="00C51EF0">
              <w:rPr>
                <w:noProof/>
              </w:rPr>
            </w:r>
            <w:r w:rsidRPr="00C51EF0">
              <w:rPr>
                <w:noProof/>
              </w:rPr>
              <w:fldChar w:fldCharType="separate"/>
            </w:r>
            <w:r w:rsidRPr="00C51EF0">
              <w:rPr>
                <w:noProof/>
              </w:rPr>
              <w:t>16</w:t>
            </w:r>
            <w:r w:rsidRPr="00C51EF0">
              <w:rPr>
                <w:noProof/>
              </w:rPr>
              <w:fldChar w:fldCharType="end"/>
            </w:r>
          </w:hyperlink>
        </w:p>
        <w:p w:rsidR="00C51EF0" w:rsidRPr="00C51EF0" w:rsidRDefault="00C51EF0">
          <w:pPr>
            <w:pStyle w:val="TOC1"/>
            <w:tabs>
              <w:tab w:val="right" w:leader="dot" w:pos="9016"/>
            </w:tabs>
            <w:rPr>
              <w:noProof/>
            </w:rPr>
          </w:pPr>
          <w:hyperlink w:anchor="_Toc241908399" w:history="1">
            <w:r w:rsidRPr="00C51EF0">
              <w:rPr>
                <w:rStyle w:val="Hyperlink"/>
                <w:noProof/>
                <w:color w:val="auto"/>
              </w:rPr>
              <w:t>UNIT THREE: METHODS OF ARCHAEOLOGICAL RESEARCH</w:t>
            </w:r>
            <w:r w:rsidRPr="00C51EF0">
              <w:rPr>
                <w:noProof/>
              </w:rPr>
              <w:tab/>
            </w:r>
            <w:r w:rsidRPr="00C51EF0">
              <w:rPr>
                <w:noProof/>
              </w:rPr>
              <w:fldChar w:fldCharType="begin"/>
            </w:r>
            <w:r w:rsidRPr="00C51EF0">
              <w:rPr>
                <w:noProof/>
              </w:rPr>
              <w:instrText xml:space="preserve"> PAGEREF _Toc241908399 \h </w:instrText>
            </w:r>
            <w:r w:rsidRPr="00C51EF0">
              <w:rPr>
                <w:noProof/>
              </w:rPr>
            </w:r>
            <w:r w:rsidRPr="00C51EF0">
              <w:rPr>
                <w:noProof/>
              </w:rPr>
              <w:fldChar w:fldCharType="separate"/>
            </w:r>
            <w:r w:rsidRPr="00C51EF0">
              <w:rPr>
                <w:noProof/>
              </w:rPr>
              <w:t>17</w:t>
            </w:r>
            <w:r w:rsidRPr="00C51EF0">
              <w:rPr>
                <w:noProof/>
              </w:rPr>
              <w:fldChar w:fldCharType="end"/>
            </w:r>
          </w:hyperlink>
        </w:p>
        <w:p w:rsidR="00C51EF0" w:rsidRPr="00C51EF0" w:rsidRDefault="00C51EF0">
          <w:pPr>
            <w:pStyle w:val="TOC2"/>
            <w:tabs>
              <w:tab w:val="right" w:leader="dot" w:pos="9016"/>
            </w:tabs>
            <w:rPr>
              <w:noProof/>
            </w:rPr>
          </w:pPr>
          <w:hyperlink w:anchor="_Toc241908400" w:history="1">
            <w:r w:rsidRPr="00C51EF0">
              <w:rPr>
                <w:rStyle w:val="Hyperlink"/>
                <w:noProof/>
                <w:color w:val="auto"/>
              </w:rPr>
              <w:t>3.1 Introduction</w:t>
            </w:r>
            <w:r w:rsidRPr="00C51EF0">
              <w:rPr>
                <w:noProof/>
              </w:rPr>
              <w:tab/>
            </w:r>
            <w:r w:rsidRPr="00C51EF0">
              <w:rPr>
                <w:noProof/>
              </w:rPr>
              <w:fldChar w:fldCharType="begin"/>
            </w:r>
            <w:r w:rsidRPr="00C51EF0">
              <w:rPr>
                <w:noProof/>
              </w:rPr>
              <w:instrText xml:space="preserve"> PAGEREF _Toc241908400 \h </w:instrText>
            </w:r>
            <w:r w:rsidRPr="00C51EF0">
              <w:rPr>
                <w:noProof/>
              </w:rPr>
            </w:r>
            <w:r w:rsidRPr="00C51EF0">
              <w:rPr>
                <w:noProof/>
              </w:rPr>
              <w:fldChar w:fldCharType="separate"/>
            </w:r>
            <w:r w:rsidRPr="00C51EF0">
              <w:rPr>
                <w:noProof/>
              </w:rPr>
              <w:t>17</w:t>
            </w:r>
            <w:r w:rsidRPr="00C51EF0">
              <w:rPr>
                <w:noProof/>
              </w:rPr>
              <w:fldChar w:fldCharType="end"/>
            </w:r>
          </w:hyperlink>
        </w:p>
        <w:p w:rsidR="00C51EF0" w:rsidRPr="00C51EF0" w:rsidRDefault="00C51EF0">
          <w:pPr>
            <w:pStyle w:val="TOC2"/>
            <w:tabs>
              <w:tab w:val="right" w:leader="dot" w:pos="9016"/>
            </w:tabs>
            <w:rPr>
              <w:noProof/>
            </w:rPr>
          </w:pPr>
          <w:hyperlink w:anchor="_Toc241908401" w:history="1">
            <w:r w:rsidRPr="00C51EF0">
              <w:rPr>
                <w:rStyle w:val="Hyperlink"/>
                <w:noProof/>
                <w:color w:val="auto"/>
              </w:rPr>
              <w:t>3.2 Learning Objectives</w:t>
            </w:r>
            <w:r w:rsidRPr="00C51EF0">
              <w:rPr>
                <w:noProof/>
              </w:rPr>
              <w:tab/>
            </w:r>
            <w:r w:rsidRPr="00C51EF0">
              <w:rPr>
                <w:noProof/>
              </w:rPr>
              <w:fldChar w:fldCharType="begin"/>
            </w:r>
            <w:r w:rsidRPr="00C51EF0">
              <w:rPr>
                <w:noProof/>
              </w:rPr>
              <w:instrText xml:space="preserve"> PAGEREF _Toc241908401 \h </w:instrText>
            </w:r>
            <w:r w:rsidRPr="00C51EF0">
              <w:rPr>
                <w:noProof/>
              </w:rPr>
            </w:r>
            <w:r w:rsidRPr="00C51EF0">
              <w:rPr>
                <w:noProof/>
              </w:rPr>
              <w:fldChar w:fldCharType="separate"/>
            </w:r>
            <w:r w:rsidRPr="00C51EF0">
              <w:rPr>
                <w:noProof/>
              </w:rPr>
              <w:t>17</w:t>
            </w:r>
            <w:r w:rsidRPr="00C51EF0">
              <w:rPr>
                <w:noProof/>
              </w:rPr>
              <w:fldChar w:fldCharType="end"/>
            </w:r>
          </w:hyperlink>
        </w:p>
        <w:p w:rsidR="00C51EF0" w:rsidRPr="00C51EF0" w:rsidRDefault="00C51EF0">
          <w:pPr>
            <w:pStyle w:val="TOC2"/>
            <w:tabs>
              <w:tab w:val="right" w:leader="dot" w:pos="9016"/>
            </w:tabs>
            <w:rPr>
              <w:noProof/>
            </w:rPr>
          </w:pPr>
          <w:hyperlink w:anchor="_Toc241908402" w:history="1">
            <w:r w:rsidRPr="00C51EF0">
              <w:rPr>
                <w:rStyle w:val="Hyperlink"/>
                <w:noProof/>
                <w:color w:val="auto"/>
              </w:rPr>
              <w:t>3.3 How a Tell Is Formed</w:t>
            </w:r>
            <w:r w:rsidRPr="00C51EF0">
              <w:rPr>
                <w:noProof/>
              </w:rPr>
              <w:tab/>
            </w:r>
            <w:r w:rsidRPr="00C51EF0">
              <w:rPr>
                <w:noProof/>
              </w:rPr>
              <w:fldChar w:fldCharType="begin"/>
            </w:r>
            <w:r w:rsidRPr="00C51EF0">
              <w:rPr>
                <w:noProof/>
              </w:rPr>
              <w:instrText xml:space="preserve"> PAGEREF _Toc241908402 \h </w:instrText>
            </w:r>
            <w:r w:rsidRPr="00C51EF0">
              <w:rPr>
                <w:noProof/>
              </w:rPr>
            </w:r>
            <w:r w:rsidRPr="00C51EF0">
              <w:rPr>
                <w:noProof/>
              </w:rPr>
              <w:fldChar w:fldCharType="separate"/>
            </w:r>
            <w:r w:rsidRPr="00C51EF0">
              <w:rPr>
                <w:noProof/>
              </w:rPr>
              <w:t>17</w:t>
            </w:r>
            <w:r w:rsidRPr="00C51EF0">
              <w:rPr>
                <w:noProof/>
              </w:rPr>
              <w:fldChar w:fldCharType="end"/>
            </w:r>
          </w:hyperlink>
        </w:p>
        <w:p w:rsidR="00C51EF0" w:rsidRPr="00C51EF0" w:rsidRDefault="00C51EF0">
          <w:pPr>
            <w:pStyle w:val="TOC2"/>
            <w:tabs>
              <w:tab w:val="right" w:leader="dot" w:pos="9016"/>
            </w:tabs>
            <w:rPr>
              <w:noProof/>
            </w:rPr>
          </w:pPr>
          <w:hyperlink w:anchor="_Toc241908403" w:history="1">
            <w:r w:rsidRPr="00C51EF0">
              <w:rPr>
                <w:rStyle w:val="Hyperlink"/>
                <w:noProof/>
                <w:color w:val="auto"/>
              </w:rPr>
              <w:t>3.4 Stratigraphy: Reading the Layers</w:t>
            </w:r>
            <w:r w:rsidRPr="00C51EF0">
              <w:rPr>
                <w:noProof/>
              </w:rPr>
              <w:tab/>
            </w:r>
            <w:r w:rsidRPr="00C51EF0">
              <w:rPr>
                <w:noProof/>
              </w:rPr>
              <w:fldChar w:fldCharType="begin"/>
            </w:r>
            <w:r w:rsidRPr="00C51EF0">
              <w:rPr>
                <w:noProof/>
              </w:rPr>
              <w:instrText xml:space="preserve"> PAGEREF _Toc241908403 \h </w:instrText>
            </w:r>
            <w:r w:rsidRPr="00C51EF0">
              <w:rPr>
                <w:noProof/>
              </w:rPr>
            </w:r>
            <w:r w:rsidRPr="00C51EF0">
              <w:rPr>
                <w:noProof/>
              </w:rPr>
              <w:fldChar w:fldCharType="separate"/>
            </w:r>
            <w:r w:rsidRPr="00C51EF0">
              <w:rPr>
                <w:noProof/>
              </w:rPr>
              <w:t>18</w:t>
            </w:r>
            <w:r w:rsidRPr="00C51EF0">
              <w:rPr>
                <w:noProof/>
              </w:rPr>
              <w:fldChar w:fldCharType="end"/>
            </w:r>
          </w:hyperlink>
        </w:p>
        <w:p w:rsidR="00C51EF0" w:rsidRPr="00C51EF0" w:rsidRDefault="00C51EF0">
          <w:pPr>
            <w:pStyle w:val="TOC2"/>
            <w:tabs>
              <w:tab w:val="right" w:leader="dot" w:pos="9016"/>
            </w:tabs>
            <w:rPr>
              <w:noProof/>
            </w:rPr>
          </w:pPr>
          <w:hyperlink w:anchor="_Toc241908404" w:history="1">
            <w:r w:rsidRPr="00C51EF0">
              <w:rPr>
                <w:rStyle w:val="Hyperlink"/>
                <w:noProof/>
                <w:color w:val="auto"/>
              </w:rPr>
              <w:t>3.5 Survey: Studying a Whole Region</w:t>
            </w:r>
            <w:r w:rsidRPr="00C51EF0">
              <w:rPr>
                <w:noProof/>
              </w:rPr>
              <w:tab/>
            </w:r>
            <w:r w:rsidRPr="00C51EF0">
              <w:rPr>
                <w:noProof/>
              </w:rPr>
              <w:fldChar w:fldCharType="begin"/>
            </w:r>
            <w:r w:rsidRPr="00C51EF0">
              <w:rPr>
                <w:noProof/>
              </w:rPr>
              <w:instrText xml:space="preserve"> PAGEREF _Toc241908404 \h </w:instrText>
            </w:r>
            <w:r w:rsidRPr="00C51EF0">
              <w:rPr>
                <w:noProof/>
              </w:rPr>
            </w:r>
            <w:r w:rsidRPr="00C51EF0">
              <w:rPr>
                <w:noProof/>
              </w:rPr>
              <w:fldChar w:fldCharType="separate"/>
            </w:r>
            <w:r w:rsidRPr="00C51EF0">
              <w:rPr>
                <w:noProof/>
              </w:rPr>
              <w:t>19</w:t>
            </w:r>
            <w:r w:rsidRPr="00C51EF0">
              <w:rPr>
                <w:noProof/>
              </w:rPr>
              <w:fldChar w:fldCharType="end"/>
            </w:r>
          </w:hyperlink>
        </w:p>
        <w:p w:rsidR="00C51EF0" w:rsidRPr="00C51EF0" w:rsidRDefault="00C51EF0">
          <w:pPr>
            <w:pStyle w:val="TOC2"/>
            <w:tabs>
              <w:tab w:val="right" w:leader="dot" w:pos="9016"/>
            </w:tabs>
            <w:rPr>
              <w:noProof/>
            </w:rPr>
          </w:pPr>
          <w:hyperlink w:anchor="_Toc241908405" w:history="1">
            <w:r w:rsidRPr="00C51EF0">
              <w:rPr>
                <w:rStyle w:val="Hyperlink"/>
                <w:noProof/>
                <w:color w:val="auto"/>
              </w:rPr>
              <w:t>3.6 Excavation and Recording</w:t>
            </w:r>
            <w:r w:rsidRPr="00C51EF0">
              <w:rPr>
                <w:noProof/>
              </w:rPr>
              <w:tab/>
            </w:r>
            <w:r w:rsidRPr="00C51EF0">
              <w:rPr>
                <w:noProof/>
              </w:rPr>
              <w:fldChar w:fldCharType="begin"/>
            </w:r>
            <w:r w:rsidRPr="00C51EF0">
              <w:rPr>
                <w:noProof/>
              </w:rPr>
              <w:instrText xml:space="preserve"> PAGEREF _Toc241908405 \h </w:instrText>
            </w:r>
            <w:r w:rsidRPr="00C51EF0">
              <w:rPr>
                <w:noProof/>
              </w:rPr>
            </w:r>
            <w:r w:rsidRPr="00C51EF0">
              <w:rPr>
                <w:noProof/>
              </w:rPr>
              <w:fldChar w:fldCharType="separate"/>
            </w:r>
            <w:r w:rsidRPr="00C51EF0">
              <w:rPr>
                <w:noProof/>
              </w:rPr>
              <w:t>19</w:t>
            </w:r>
            <w:r w:rsidRPr="00C51EF0">
              <w:rPr>
                <w:noProof/>
              </w:rPr>
              <w:fldChar w:fldCharType="end"/>
            </w:r>
          </w:hyperlink>
        </w:p>
        <w:p w:rsidR="00C51EF0" w:rsidRPr="00C51EF0" w:rsidRDefault="00C51EF0">
          <w:pPr>
            <w:pStyle w:val="TOC2"/>
            <w:tabs>
              <w:tab w:val="right" w:leader="dot" w:pos="9016"/>
            </w:tabs>
            <w:rPr>
              <w:noProof/>
            </w:rPr>
          </w:pPr>
          <w:hyperlink w:anchor="_Toc241908406" w:history="1">
            <w:r w:rsidRPr="00C51EF0">
              <w:rPr>
                <w:rStyle w:val="Hyperlink"/>
                <w:noProof/>
                <w:color w:val="auto"/>
              </w:rPr>
              <w:t>3.7 Dating Methods</w:t>
            </w:r>
            <w:r w:rsidRPr="00C51EF0">
              <w:rPr>
                <w:noProof/>
              </w:rPr>
              <w:tab/>
            </w:r>
            <w:r w:rsidRPr="00C51EF0">
              <w:rPr>
                <w:noProof/>
              </w:rPr>
              <w:fldChar w:fldCharType="begin"/>
            </w:r>
            <w:r w:rsidRPr="00C51EF0">
              <w:rPr>
                <w:noProof/>
              </w:rPr>
              <w:instrText xml:space="preserve"> PAGEREF _Toc241908406 \h </w:instrText>
            </w:r>
            <w:r w:rsidRPr="00C51EF0">
              <w:rPr>
                <w:noProof/>
              </w:rPr>
            </w:r>
            <w:r w:rsidRPr="00C51EF0">
              <w:rPr>
                <w:noProof/>
              </w:rPr>
              <w:fldChar w:fldCharType="separate"/>
            </w:r>
            <w:r w:rsidRPr="00C51EF0">
              <w:rPr>
                <w:noProof/>
              </w:rPr>
              <w:t>20</w:t>
            </w:r>
            <w:r w:rsidRPr="00C51EF0">
              <w:rPr>
                <w:noProof/>
              </w:rPr>
              <w:fldChar w:fldCharType="end"/>
            </w:r>
          </w:hyperlink>
        </w:p>
        <w:p w:rsidR="00C51EF0" w:rsidRPr="00C51EF0" w:rsidRDefault="00C51EF0">
          <w:pPr>
            <w:pStyle w:val="TOC2"/>
            <w:tabs>
              <w:tab w:val="right" w:leader="dot" w:pos="9016"/>
            </w:tabs>
            <w:rPr>
              <w:noProof/>
            </w:rPr>
          </w:pPr>
          <w:hyperlink w:anchor="_Toc241908407" w:history="1">
            <w:r w:rsidRPr="00C51EF0">
              <w:rPr>
                <w:rStyle w:val="Hyperlink"/>
                <w:noProof/>
                <w:color w:val="auto"/>
              </w:rPr>
              <w:t>3.8 Interpretation</w:t>
            </w:r>
            <w:r w:rsidRPr="00C51EF0">
              <w:rPr>
                <w:noProof/>
              </w:rPr>
              <w:tab/>
            </w:r>
            <w:r w:rsidRPr="00C51EF0">
              <w:rPr>
                <w:noProof/>
              </w:rPr>
              <w:fldChar w:fldCharType="begin"/>
            </w:r>
            <w:r w:rsidRPr="00C51EF0">
              <w:rPr>
                <w:noProof/>
              </w:rPr>
              <w:instrText xml:space="preserve"> PAGEREF _Toc241908407 \h </w:instrText>
            </w:r>
            <w:r w:rsidRPr="00C51EF0">
              <w:rPr>
                <w:noProof/>
              </w:rPr>
            </w:r>
            <w:r w:rsidRPr="00C51EF0">
              <w:rPr>
                <w:noProof/>
              </w:rPr>
              <w:fldChar w:fldCharType="separate"/>
            </w:r>
            <w:r w:rsidRPr="00C51EF0">
              <w:rPr>
                <w:noProof/>
              </w:rPr>
              <w:t>22</w:t>
            </w:r>
            <w:r w:rsidRPr="00C51EF0">
              <w:rPr>
                <w:noProof/>
              </w:rPr>
              <w:fldChar w:fldCharType="end"/>
            </w:r>
          </w:hyperlink>
        </w:p>
        <w:p w:rsidR="00C51EF0" w:rsidRPr="00C51EF0" w:rsidRDefault="00C51EF0">
          <w:pPr>
            <w:pStyle w:val="TOC2"/>
            <w:tabs>
              <w:tab w:val="right" w:leader="dot" w:pos="9016"/>
            </w:tabs>
            <w:rPr>
              <w:noProof/>
            </w:rPr>
          </w:pPr>
          <w:hyperlink w:anchor="_Toc241908408" w:history="1">
            <w:r w:rsidRPr="00C51EF0">
              <w:rPr>
                <w:rStyle w:val="Hyperlink"/>
                <w:noProof/>
                <w:color w:val="auto"/>
              </w:rPr>
              <w:t>3.9 Publication</w:t>
            </w:r>
            <w:r w:rsidRPr="00C51EF0">
              <w:rPr>
                <w:noProof/>
              </w:rPr>
              <w:tab/>
            </w:r>
            <w:r w:rsidRPr="00C51EF0">
              <w:rPr>
                <w:noProof/>
              </w:rPr>
              <w:fldChar w:fldCharType="begin"/>
            </w:r>
            <w:r w:rsidRPr="00C51EF0">
              <w:rPr>
                <w:noProof/>
              </w:rPr>
              <w:instrText xml:space="preserve"> PAGEREF _Toc241908408 \h </w:instrText>
            </w:r>
            <w:r w:rsidRPr="00C51EF0">
              <w:rPr>
                <w:noProof/>
              </w:rPr>
            </w:r>
            <w:r w:rsidRPr="00C51EF0">
              <w:rPr>
                <w:noProof/>
              </w:rPr>
              <w:fldChar w:fldCharType="separate"/>
            </w:r>
            <w:r w:rsidRPr="00C51EF0">
              <w:rPr>
                <w:noProof/>
              </w:rPr>
              <w:t>22</w:t>
            </w:r>
            <w:r w:rsidRPr="00C51EF0">
              <w:rPr>
                <w:noProof/>
              </w:rPr>
              <w:fldChar w:fldCharType="end"/>
            </w:r>
          </w:hyperlink>
        </w:p>
        <w:p w:rsidR="00C51EF0" w:rsidRPr="00C51EF0" w:rsidRDefault="00C51EF0">
          <w:pPr>
            <w:pStyle w:val="TOC2"/>
            <w:tabs>
              <w:tab w:val="right" w:leader="dot" w:pos="9016"/>
            </w:tabs>
            <w:rPr>
              <w:noProof/>
            </w:rPr>
          </w:pPr>
          <w:hyperlink w:anchor="_Toc241908409" w:history="1">
            <w:r w:rsidRPr="00C51EF0">
              <w:rPr>
                <w:rStyle w:val="Hyperlink"/>
                <w:noProof/>
                <w:color w:val="auto"/>
              </w:rPr>
              <w:t>3.10 How to Read an Excavation Report</w:t>
            </w:r>
            <w:r w:rsidRPr="00C51EF0">
              <w:rPr>
                <w:noProof/>
              </w:rPr>
              <w:tab/>
            </w:r>
            <w:r w:rsidRPr="00C51EF0">
              <w:rPr>
                <w:noProof/>
              </w:rPr>
              <w:fldChar w:fldCharType="begin"/>
            </w:r>
            <w:r w:rsidRPr="00C51EF0">
              <w:rPr>
                <w:noProof/>
              </w:rPr>
              <w:instrText xml:space="preserve"> PAGEREF _Toc241908409 \h </w:instrText>
            </w:r>
            <w:r w:rsidRPr="00C51EF0">
              <w:rPr>
                <w:noProof/>
              </w:rPr>
            </w:r>
            <w:r w:rsidRPr="00C51EF0">
              <w:rPr>
                <w:noProof/>
              </w:rPr>
              <w:fldChar w:fldCharType="separate"/>
            </w:r>
            <w:r w:rsidRPr="00C51EF0">
              <w:rPr>
                <w:noProof/>
              </w:rPr>
              <w:t>23</w:t>
            </w:r>
            <w:r w:rsidRPr="00C51EF0">
              <w:rPr>
                <w:noProof/>
              </w:rPr>
              <w:fldChar w:fldCharType="end"/>
            </w:r>
          </w:hyperlink>
        </w:p>
        <w:p w:rsidR="00C51EF0" w:rsidRPr="00C51EF0" w:rsidRDefault="00C51EF0">
          <w:pPr>
            <w:pStyle w:val="TOC2"/>
            <w:tabs>
              <w:tab w:val="right" w:leader="dot" w:pos="9016"/>
            </w:tabs>
            <w:rPr>
              <w:noProof/>
            </w:rPr>
          </w:pPr>
          <w:hyperlink w:anchor="_Toc241908410" w:history="1">
            <w:r w:rsidRPr="00C51EF0">
              <w:rPr>
                <w:rStyle w:val="Hyperlink"/>
                <w:noProof/>
                <w:color w:val="auto"/>
              </w:rPr>
              <w:t>3.11 Summary</w:t>
            </w:r>
            <w:r w:rsidRPr="00C51EF0">
              <w:rPr>
                <w:noProof/>
              </w:rPr>
              <w:tab/>
            </w:r>
            <w:r w:rsidRPr="00C51EF0">
              <w:rPr>
                <w:noProof/>
              </w:rPr>
              <w:fldChar w:fldCharType="begin"/>
            </w:r>
            <w:r w:rsidRPr="00C51EF0">
              <w:rPr>
                <w:noProof/>
              </w:rPr>
              <w:instrText xml:space="preserve"> PAGEREF _Toc241908410 \h </w:instrText>
            </w:r>
            <w:r w:rsidRPr="00C51EF0">
              <w:rPr>
                <w:noProof/>
              </w:rPr>
            </w:r>
            <w:r w:rsidRPr="00C51EF0">
              <w:rPr>
                <w:noProof/>
              </w:rPr>
              <w:fldChar w:fldCharType="separate"/>
            </w:r>
            <w:r w:rsidRPr="00C51EF0">
              <w:rPr>
                <w:noProof/>
              </w:rPr>
              <w:t>23</w:t>
            </w:r>
            <w:r w:rsidRPr="00C51EF0">
              <w:rPr>
                <w:noProof/>
              </w:rPr>
              <w:fldChar w:fldCharType="end"/>
            </w:r>
          </w:hyperlink>
        </w:p>
        <w:p w:rsidR="00C51EF0" w:rsidRPr="00C51EF0" w:rsidRDefault="00C51EF0">
          <w:pPr>
            <w:pStyle w:val="TOC2"/>
            <w:tabs>
              <w:tab w:val="right" w:leader="dot" w:pos="9016"/>
            </w:tabs>
            <w:rPr>
              <w:noProof/>
            </w:rPr>
          </w:pPr>
          <w:hyperlink w:anchor="_Toc241908411" w:history="1">
            <w:r w:rsidRPr="00C51EF0">
              <w:rPr>
                <w:rStyle w:val="Hyperlink"/>
                <w:noProof/>
                <w:color w:val="auto"/>
              </w:rPr>
              <w:t>3.12 Life Application</w:t>
            </w:r>
            <w:r w:rsidRPr="00C51EF0">
              <w:rPr>
                <w:noProof/>
              </w:rPr>
              <w:tab/>
            </w:r>
            <w:r w:rsidRPr="00C51EF0">
              <w:rPr>
                <w:noProof/>
              </w:rPr>
              <w:fldChar w:fldCharType="begin"/>
            </w:r>
            <w:r w:rsidRPr="00C51EF0">
              <w:rPr>
                <w:noProof/>
              </w:rPr>
              <w:instrText xml:space="preserve"> PAGEREF _Toc241908411 \h </w:instrText>
            </w:r>
            <w:r w:rsidRPr="00C51EF0">
              <w:rPr>
                <w:noProof/>
              </w:rPr>
            </w:r>
            <w:r w:rsidRPr="00C51EF0">
              <w:rPr>
                <w:noProof/>
              </w:rPr>
              <w:fldChar w:fldCharType="separate"/>
            </w:r>
            <w:r w:rsidRPr="00C51EF0">
              <w:rPr>
                <w:noProof/>
              </w:rPr>
              <w:t>23</w:t>
            </w:r>
            <w:r w:rsidRPr="00C51EF0">
              <w:rPr>
                <w:noProof/>
              </w:rPr>
              <w:fldChar w:fldCharType="end"/>
            </w:r>
          </w:hyperlink>
        </w:p>
        <w:p w:rsidR="00C51EF0" w:rsidRPr="00C51EF0" w:rsidRDefault="00C51EF0">
          <w:pPr>
            <w:pStyle w:val="TOC2"/>
            <w:tabs>
              <w:tab w:val="right" w:leader="dot" w:pos="9016"/>
            </w:tabs>
            <w:rPr>
              <w:noProof/>
            </w:rPr>
          </w:pPr>
          <w:hyperlink w:anchor="_Toc241908412" w:history="1">
            <w:r w:rsidRPr="00C51EF0">
              <w:rPr>
                <w:rStyle w:val="Hyperlink"/>
                <w:noProof/>
                <w:color w:val="auto"/>
              </w:rPr>
              <w:t>3.13 Discussion Questions</w:t>
            </w:r>
            <w:r w:rsidRPr="00C51EF0">
              <w:rPr>
                <w:noProof/>
              </w:rPr>
              <w:tab/>
            </w:r>
            <w:r w:rsidRPr="00C51EF0">
              <w:rPr>
                <w:noProof/>
              </w:rPr>
              <w:fldChar w:fldCharType="begin"/>
            </w:r>
            <w:r w:rsidRPr="00C51EF0">
              <w:rPr>
                <w:noProof/>
              </w:rPr>
              <w:instrText xml:space="preserve"> PAGEREF _Toc241908412 \h </w:instrText>
            </w:r>
            <w:r w:rsidRPr="00C51EF0">
              <w:rPr>
                <w:noProof/>
              </w:rPr>
            </w:r>
            <w:r w:rsidRPr="00C51EF0">
              <w:rPr>
                <w:noProof/>
              </w:rPr>
              <w:fldChar w:fldCharType="separate"/>
            </w:r>
            <w:r w:rsidRPr="00C51EF0">
              <w:rPr>
                <w:noProof/>
              </w:rPr>
              <w:t>24</w:t>
            </w:r>
            <w:r w:rsidRPr="00C51EF0">
              <w:rPr>
                <w:noProof/>
              </w:rPr>
              <w:fldChar w:fldCharType="end"/>
            </w:r>
          </w:hyperlink>
        </w:p>
        <w:p w:rsidR="00C51EF0" w:rsidRPr="00C51EF0" w:rsidRDefault="00C51EF0">
          <w:pPr>
            <w:pStyle w:val="TOC2"/>
            <w:tabs>
              <w:tab w:val="right" w:leader="dot" w:pos="9016"/>
            </w:tabs>
            <w:rPr>
              <w:noProof/>
            </w:rPr>
          </w:pPr>
          <w:hyperlink w:anchor="_Toc241908413" w:history="1">
            <w:r w:rsidRPr="00C51EF0">
              <w:rPr>
                <w:rStyle w:val="Hyperlink"/>
                <w:noProof/>
                <w:color w:val="auto"/>
              </w:rPr>
              <w:t>3.14 Further Reading</w:t>
            </w:r>
            <w:r w:rsidRPr="00C51EF0">
              <w:rPr>
                <w:noProof/>
              </w:rPr>
              <w:tab/>
            </w:r>
            <w:r w:rsidRPr="00C51EF0">
              <w:rPr>
                <w:noProof/>
              </w:rPr>
              <w:fldChar w:fldCharType="begin"/>
            </w:r>
            <w:r w:rsidRPr="00C51EF0">
              <w:rPr>
                <w:noProof/>
              </w:rPr>
              <w:instrText xml:space="preserve"> PAGEREF _Toc241908413 \h </w:instrText>
            </w:r>
            <w:r w:rsidRPr="00C51EF0">
              <w:rPr>
                <w:noProof/>
              </w:rPr>
            </w:r>
            <w:r w:rsidRPr="00C51EF0">
              <w:rPr>
                <w:noProof/>
              </w:rPr>
              <w:fldChar w:fldCharType="separate"/>
            </w:r>
            <w:r w:rsidRPr="00C51EF0">
              <w:rPr>
                <w:noProof/>
              </w:rPr>
              <w:t>24</w:t>
            </w:r>
            <w:r w:rsidRPr="00C51EF0">
              <w:rPr>
                <w:noProof/>
              </w:rPr>
              <w:fldChar w:fldCharType="end"/>
            </w:r>
          </w:hyperlink>
        </w:p>
        <w:p w:rsidR="00C51EF0" w:rsidRPr="00C51EF0" w:rsidRDefault="00C51EF0">
          <w:pPr>
            <w:pStyle w:val="TOC1"/>
            <w:tabs>
              <w:tab w:val="right" w:leader="dot" w:pos="9016"/>
            </w:tabs>
            <w:rPr>
              <w:noProof/>
            </w:rPr>
          </w:pPr>
          <w:hyperlink w:anchor="_Toc241908414" w:history="1">
            <w:r w:rsidRPr="00C51EF0">
              <w:rPr>
                <w:rStyle w:val="Hyperlink"/>
                <w:noProof/>
                <w:color w:val="auto"/>
              </w:rPr>
              <w:t>UNIT FOUR: ARCHAEOLOGY, HISTORY AND BIBLICAL INTERPRETATION</w:t>
            </w:r>
            <w:r w:rsidRPr="00C51EF0">
              <w:rPr>
                <w:noProof/>
              </w:rPr>
              <w:tab/>
            </w:r>
            <w:r w:rsidRPr="00C51EF0">
              <w:rPr>
                <w:noProof/>
              </w:rPr>
              <w:fldChar w:fldCharType="begin"/>
            </w:r>
            <w:r w:rsidRPr="00C51EF0">
              <w:rPr>
                <w:noProof/>
              </w:rPr>
              <w:instrText xml:space="preserve"> PAGEREF _Toc241908414 \h </w:instrText>
            </w:r>
            <w:r w:rsidRPr="00C51EF0">
              <w:rPr>
                <w:noProof/>
              </w:rPr>
            </w:r>
            <w:r w:rsidRPr="00C51EF0">
              <w:rPr>
                <w:noProof/>
              </w:rPr>
              <w:fldChar w:fldCharType="separate"/>
            </w:r>
            <w:r w:rsidRPr="00C51EF0">
              <w:rPr>
                <w:noProof/>
              </w:rPr>
              <w:t>26</w:t>
            </w:r>
            <w:r w:rsidRPr="00C51EF0">
              <w:rPr>
                <w:noProof/>
              </w:rPr>
              <w:fldChar w:fldCharType="end"/>
            </w:r>
          </w:hyperlink>
        </w:p>
        <w:p w:rsidR="00C51EF0" w:rsidRPr="00C51EF0" w:rsidRDefault="00C51EF0">
          <w:pPr>
            <w:pStyle w:val="TOC2"/>
            <w:tabs>
              <w:tab w:val="right" w:leader="dot" w:pos="9016"/>
            </w:tabs>
            <w:rPr>
              <w:noProof/>
            </w:rPr>
          </w:pPr>
          <w:hyperlink w:anchor="_Toc241908415" w:history="1">
            <w:r w:rsidRPr="00C51EF0">
              <w:rPr>
                <w:rStyle w:val="Hyperlink"/>
                <w:noProof/>
                <w:color w:val="auto"/>
              </w:rPr>
              <w:t>4.1 Introduction</w:t>
            </w:r>
            <w:r w:rsidRPr="00C51EF0">
              <w:rPr>
                <w:noProof/>
              </w:rPr>
              <w:tab/>
            </w:r>
            <w:r w:rsidRPr="00C51EF0">
              <w:rPr>
                <w:noProof/>
              </w:rPr>
              <w:fldChar w:fldCharType="begin"/>
            </w:r>
            <w:r w:rsidRPr="00C51EF0">
              <w:rPr>
                <w:noProof/>
              </w:rPr>
              <w:instrText xml:space="preserve"> PAGEREF _Toc241908415 \h </w:instrText>
            </w:r>
            <w:r w:rsidRPr="00C51EF0">
              <w:rPr>
                <w:noProof/>
              </w:rPr>
            </w:r>
            <w:r w:rsidRPr="00C51EF0">
              <w:rPr>
                <w:noProof/>
              </w:rPr>
              <w:fldChar w:fldCharType="separate"/>
            </w:r>
            <w:r w:rsidRPr="00C51EF0">
              <w:rPr>
                <w:noProof/>
              </w:rPr>
              <w:t>26</w:t>
            </w:r>
            <w:r w:rsidRPr="00C51EF0">
              <w:rPr>
                <w:noProof/>
              </w:rPr>
              <w:fldChar w:fldCharType="end"/>
            </w:r>
          </w:hyperlink>
        </w:p>
        <w:p w:rsidR="00C51EF0" w:rsidRPr="00C51EF0" w:rsidRDefault="00C51EF0">
          <w:pPr>
            <w:pStyle w:val="TOC2"/>
            <w:tabs>
              <w:tab w:val="right" w:leader="dot" w:pos="9016"/>
            </w:tabs>
            <w:rPr>
              <w:noProof/>
            </w:rPr>
          </w:pPr>
          <w:hyperlink w:anchor="_Toc241908416" w:history="1">
            <w:r w:rsidRPr="00C51EF0">
              <w:rPr>
                <w:rStyle w:val="Hyperlink"/>
                <w:noProof/>
                <w:color w:val="auto"/>
              </w:rPr>
              <w:t>4.2 Learning Objectives</w:t>
            </w:r>
            <w:r w:rsidRPr="00C51EF0">
              <w:rPr>
                <w:noProof/>
              </w:rPr>
              <w:tab/>
            </w:r>
            <w:r w:rsidRPr="00C51EF0">
              <w:rPr>
                <w:noProof/>
              </w:rPr>
              <w:fldChar w:fldCharType="begin"/>
            </w:r>
            <w:r w:rsidRPr="00C51EF0">
              <w:rPr>
                <w:noProof/>
              </w:rPr>
              <w:instrText xml:space="preserve"> PAGEREF _Toc241908416 \h </w:instrText>
            </w:r>
            <w:r w:rsidRPr="00C51EF0">
              <w:rPr>
                <w:noProof/>
              </w:rPr>
            </w:r>
            <w:r w:rsidRPr="00C51EF0">
              <w:rPr>
                <w:noProof/>
              </w:rPr>
              <w:fldChar w:fldCharType="separate"/>
            </w:r>
            <w:r w:rsidRPr="00C51EF0">
              <w:rPr>
                <w:noProof/>
              </w:rPr>
              <w:t>26</w:t>
            </w:r>
            <w:r w:rsidRPr="00C51EF0">
              <w:rPr>
                <w:noProof/>
              </w:rPr>
              <w:fldChar w:fldCharType="end"/>
            </w:r>
          </w:hyperlink>
        </w:p>
        <w:p w:rsidR="00C51EF0" w:rsidRPr="00C51EF0" w:rsidRDefault="00C51EF0">
          <w:pPr>
            <w:pStyle w:val="TOC2"/>
            <w:tabs>
              <w:tab w:val="right" w:leader="dot" w:pos="9016"/>
            </w:tabs>
            <w:rPr>
              <w:noProof/>
            </w:rPr>
          </w:pPr>
          <w:hyperlink w:anchor="_Toc241908417" w:history="1">
            <w:r w:rsidRPr="00C51EF0">
              <w:rPr>
                <w:rStyle w:val="Hyperlink"/>
                <w:noProof/>
                <w:color w:val="auto"/>
              </w:rPr>
              <w:t>4.3 The Bible as Historical Testimony</w:t>
            </w:r>
            <w:r w:rsidRPr="00C51EF0">
              <w:rPr>
                <w:noProof/>
              </w:rPr>
              <w:tab/>
            </w:r>
            <w:r w:rsidRPr="00C51EF0">
              <w:rPr>
                <w:noProof/>
              </w:rPr>
              <w:fldChar w:fldCharType="begin"/>
            </w:r>
            <w:r w:rsidRPr="00C51EF0">
              <w:rPr>
                <w:noProof/>
              </w:rPr>
              <w:instrText xml:space="preserve"> PAGEREF _Toc241908417 \h </w:instrText>
            </w:r>
            <w:r w:rsidRPr="00C51EF0">
              <w:rPr>
                <w:noProof/>
              </w:rPr>
            </w:r>
            <w:r w:rsidRPr="00C51EF0">
              <w:rPr>
                <w:noProof/>
              </w:rPr>
              <w:fldChar w:fldCharType="separate"/>
            </w:r>
            <w:r w:rsidRPr="00C51EF0">
              <w:rPr>
                <w:noProof/>
              </w:rPr>
              <w:t>26</w:t>
            </w:r>
            <w:r w:rsidRPr="00C51EF0">
              <w:rPr>
                <w:noProof/>
              </w:rPr>
              <w:fldChar w:fldCharType="end"/>
            </w:r>
          </w:hyperlink>
        </w:p>
        <w:p w:rsidR="00C51EF0" w:rsidRPr="00C51EF0" w:rsidRDefault="00C51EF0">
          <w:pPr>
            <w:pStyle w:val="TOC2"/>
            <w:tabs>
              <w:tab w:val="right" w:leader="dot" w:pos="9016"/>
            </w:tabs>
            <w:rPr>
              <w:noProof/>
            </w:rPr>
          </w:pPr>
          <w:hyperlink w:anchor="_Toc241908418" w:history="1">
            <w:r w:rsidRPr="00C51EF0">
              <w:rPr>
                <w:rStyle w:val="Hyperlink"/>
                <w:noProof/>
                <w:color w:val="auto"/>
              </w:rPr>
              <w:t>4.4 Ways of Relating Archaeology and the Bible</w:t>
            </w:r>
            <w:r w:rsidRPr="00C51EF0">
              <w:rPr>
                <w:noProof/>
              </w:rPr>
              <w:tab/>
            </w:r>
            <w:r w:rsidRPr="00C51EF0">
              <w:rPr>
                <w:noProof/>
              </w:rPr>
              <w:fldChar w:fldCharType="begin"/>
            </w:r>
            <w:r w:rsidRPr="00C51EF0">
              <w:rPr>
                <w:noProof/>
              </w:rPr>
              <w:instrText xml:space="preserve"> PAGEREF _Toc241908418 \h </w:instrText>
            </w:r>
            <w:r w:rsidRPr="00C51EF0">
              <w:rPr>
                <w:noProof/>
              </w:rPr>
            </w:r>
            <w:r w:rsidRPr="00C51EF0">
              <w:rPr>
                <w:noProof/>
              </w:rPr>
              <w:fldChar w:fldCharType="separate"/>
            </w:r>
            <w:r w:rsidRPr="00C51EF0">
              <w:rPr>
                <w:noProof/>
              </w:rPr>
              <w:t>27</w:t>
            </w:r>
            <w:r w:rsidRPr="00C51EF0">
              <w:rPr>
                <w:noProof/>
              </w:rPr>
              <w:fldChar w:fldCharType="end"/>
            </w:r>
          </w:hyperlink>
        </w:p>
        <w:p w:rsidR="00C51EF0" w:rsidRPr="00C51EF0" w:rsidRDefault="00C51EF0">
          <w:pPr>
            <w:pStyle w:val="TOC2"/>
            <w:tabs>
              <w:tab w:val="right" w:leader="dot" w:pos="9016"/>
            </w:tabs>
            <w:rPr>
              <w:noProof/>
            </w:rPr>
          </w:pPr>
          <w:hyperlink w:anchor="_Toc241908419" w:history="1">
            <w:r w:rsidRPr="00C51EF0">
              <w:rPr>
                <w:rStyle w:val="Hyperlink"/>
                <w:noProof/>
                <w:color w:val="auto"/>
              </w:rPr>
              <w:t>4.5 Agreement, Disagreement and Silence</w:t>
            </w:r>
            <w:r w:rsidRPr="00C51EF0">
              <w:rPr>
                <w:noProof/>
              </w:rPr>
              <w:tab/>
            </w:r>
            <w:r w:rsidRPr="00C51EF0">
              <w:rPr>
                <w:noProof/>
              </w:rPr>
              <w:fldChar w:fldCharType="begin"/>
            </w:r>
            <w:r w:rsidRPr="00C51EF0">
              <w:rPr>
                <w:noProof/>
              </w:rPr>
              <w:instrText xml:space="preserve"> PAGEREF _Toc241908419 \h </w:instrText>
            </w:r>
            <w:r w:rsidRPr="00C51EF0">
              <w:rPr>
                <w:noProof/>
              </w:rPr>
            </w:r>
            <w:r w:rsidRPr="00C51EF0">
              <w:rPr>
                <w:noProof/>
              </w:rPr>
              <w:fldChar w:fldCharType="separate"/>
            </w:r>
            <w:r w:rsidRPr="00C51EF0">
              <w:rPr>
                <w:noProof/>
              </w:rPr>
              <w:t>29</w:t>
            </w:r>
            <w:r w:rsidRPr="00C51EF0">
              <w:rPr>
                <w:noProof/>
              </w:rPr>
              <w:fldChar w:fldCharType="end"/>
            </w:r>
          </w:hyperlink>
        </w:p>
        <w:p w:rsidR="00C51EF0" w:rsidRPr="00C51EF0" w:rsidRDefault="00C51EF0">
          <w:pPr>
            <w:pStyle w:val="TOC2"/>
            <w:tabs>
              <w:tab w:val="right" w:leader="dot" w:pos="9016"/>
            </w:tabs>
            <w:rPr>
              <w:noProof/>
            </w:rPr>
          </w:pPr>
          <w:hyperlink w:anchor="_Toc241908420" w:history="1">
            <w:r w:rsidRPr="00C51EF0">
              <w:rPr>
                <w:rStyle w:val="Hyperlink"/>
                <w:noProof/>
                <w:color w:val="auto"/>
              </w:rPr>
              <w:t>4.6 Circular Reasoning</w:t>
            </w:r>
            <w:r w:rsidRPr="00C51EF0">
              <w:rPr>
                <w:noProof/>
              </w:rPr>
              <w:tab/>
            </w:r>
            <w:r w:rsidRPr="00C51EF0">
              <w:rPr>
                <w:noProof/>
              </w:rPr>
              <w:fldChar w:fldCharType="begin"/>
            </w:r>
            <w:r w:rsidRPr="00C51EF0">
              <w:rPr>
                <w:noProof/>
              </w:rPr>
              <w:instrText xml:space="preserve"> PAGEREF _Toc241908420 \h </w:instrText>
            </w:r>
            <w:r w:rsidRPr="00C51EF0">
              <w:rPr>
                <w:noProof/>
              </w:rPr>
            </w:r>
            <w:r w:rsidRPr="00C51EF0">
              <w:rPr>
                <w:noProof/>
              </w:rPr>
              <w:fldChar w:fldCharType="separate"/>
            </w:r>
            <w:r w:rsidRPr="00C51EF0">
              <w:rPr>
                <w:noProof/>
              </w:rPr>
              <w:t>29</w:t>
            </w:r>
            <w:r w:rsidRPr="00C51EF0">
              <w:rPr>
                <w:noProof/>
              </w:rPr>
              <w:fldChar w:fldCharType="end"/>
            </w:r>
          </w:hyperlink>
        </w:p>
        <w:p w:rsidR="00C51EF0" w:rsidRPr="00C51EF0" w:rsidRDefault="00C51EF0">
          <w:pPr>
            <w:pStyle w:val="TOC2"/>
            <w:tabs>
              <w:tab w:val="right" w:leader="dot" w:pos="9016"/>
            </w:tabs>
            <w:rPr>
              <w:noProof/>
            </w:rPr>
          </w:pPr>
          <w:hyperlink w:anchor="_Toc241908421" w:history="1">
            <w:r w:rsidRPr="00C51EF0">
              <w:rPr>
                <w:rStyle w:val="Hyperlink"/>
                <w:noProof/>
                <w:color w:val="auto"/>
              </w:rPr>
              <w:t>4.7 Archaeology and Theology</w:t>
            </w:r>
            <w:r w:rsidRPr="00C51EF0">
              <w:rPr>
                <w:noProof/>
              </w:rPr>
              <w:tab/>
            </w:r>
            <w:r w:rsidRPr="00C51EF0">
              <w:rPr>
                <w:noProof/>
              </w:rPr>
              <w:fldChar w:fldCharType="begin"/>
            </w:r>
            <w:r w:rsidRPr="00C51EF0">
              <w:rPr>
                <w:noProof/>
              </w:rPr>
              <w:instrText xml:space="preserve"> PAGEREF _Toc241908421 \h </w:instrText>
            </w:r>
            <w:r w:rsidRPr="00C51EF0">
              <w:rPr>
                <w:noProof/>
              </w:rPr>
            </w:r>
            <w:r w:rsidRPr="00C51EF0">
              <w:rPr>
                <w:noProof/>
              </w:rPr>
              <w:fldChar w:fldCharType="separate"/>
            </w:r>
            <w:r w:rsidRPr="00C51EF0">
              <w:rPr>
                <w:noProof/>
              </w:rPr>
              <w:t>30</w:t>
            </w:r>
            <w:r w:rsidRPr="00C51EF0">
              <w:rPr>
                <w:noProof/>
              </w:rPr>
              <w:fldChar w:fldCharType="end"/>
            </w:r>
          </w:hyperlink>
        </w:p>
        <w:p w:rsidR="00C51EF0" w:rsidRPr="00C51EF0" w:rsidRDefault="00C51EF0">
          <w:pPr>
            <w:pStyle w:val="TOC2"/>
            <w:tabs>
              <w:tab w:val="right" w:leader="dot" w:pos="9016"/>
            </w:tabs>
            <w:rPr>
              <w:noProof/>
            </w:rPr>
          </w:pPr>
          <w:hyperlink w:anchor="_Toc241908422" w:history="1">
            <w:r w:rsidRPr="00C51EF0">
              <w:rPr>
                <w:rStyle w:val="Hyperlink"/>
                <w:noProof/>
                <w:color w:val="auto"/>
              </w:rPr>
              <w:t>4.8 Principles for Responsible Use</w:t>
            </w:r>
            <w:r w:rsidRPr="00C51EF0">
              <w:rPr>
                <w:noProof/>
              </w:rPr>
              <w:tab/>
            </w:r>
            <w:r w:rsidRPr="00C51EF0">
              <w:rPr>
                <w:noProof/>
              </w:rPr>
              <w:fldChar w:fldCharType="begin"/>
            </w:r>
            <w:r w:rsidRPr="00C51EF0">
              <w:rPr>
                <w:noProof/>
              </w:rPr>
              <w:instrText xml:space="preserve"> PAGEREF _Toc241908422 \h </w:instrText>
            </w:r>
            <w:r w:rsidRPr="00C51EF0">
              <w:rPr>
                <w:noProof/>
              </w:rPr>
            </w:r>
            <w:r w:rsidRPr="00C51EF0">
              <w:rPr>
                <w:noProof/>
              </w:rPr>
              <w:fldChar w:fldCharType="separate"/>
            </w:r>
            <w:r w:rsidRPr="00C51EF0">
              <w:rPr>
                <w:noProof/>
              </w:rPr>
              <w:t>30</w:t>
            </w:r>
            <w:r w:rsidRPr="00C51EF0">
              <w:rPr>
                <w:noProof/>
              </w:rPr>
              <w:fldChar w:fldCharType="end"/>
            </w:r>
          </w:hyperlink>
        </w:p>
        <w:p w:rsidR="00C51EF0" w:rsidRPr="00C51EF0" w:rsidRDefault="00C51EF0">
          <w:pPr>
            <w:pStyle w:val="TOC2"/>
            <w:tabs>
              <w:tab w:val="right" w:leader="dot" w:pos="9016"/>
            </w:tabs>
            <w:rPr>
              <w:noProof/>
            </w:rPr>
          </w:pPr>
          <w:hyperlink w:anchor="_Toc241908423" w:history="1">
            <w:r w:rsidRPr="00C51EF0">
              <w:rPr>
                <w:rStyle w:val="Hyperlink"/>
                <w:noProof/>
                <w:color w:val="auto"/>
              </w:rPr>
              <w:t>4.9 Summary</w:t>
            </w:r>
            <w:r w:rsidRPr="00C51EF0">
              <w:rPr>
                <w:noProof/>
              </w:rPr>
              <w:tab/>
            </w:r>
            <w:r w:rsidRPr="00C51EF0">
              <w:rPr>
                <w:noProof/>
              </w:rPr>
              <w:fldChar w:fldCharType="begin"/>
            </w:r>
            <w:r w:rsidRPr="00C51EF0">
              <w:rPr>
                <w:noProof/>
              </w:rPr>
              <w:instrText xml:space="preserve"> PAGEREF _Toc241908423 \h </w:instrText>
            </w:r>
            <w:r w:rsidRPr="00C51EF0">
              <w:rPr>
                <w:noProof/>
              </w:rPr>
            </w:r>
            <w:r w:rsidRPr="00C51EF0">
              <w:rPr>
                <w:noProof/>
              </w:rPr>
              <w:fldChar w:fldCharType="separate"/>
            </w:r>
            <w:r w:rsidRPr="00C51EF0">
              <w:rPr>
                <w:noProof/>
              </w:rPr>
              <w:t>31</w:t>
            </w:r>
            <w:r w:rsidRPr="00C51EF0">
              <w:rPr>
                <w:noProof/>
              </w:rPr>
              <w:fldChar w:fldCharType="end"/>
            </w:r>
          </w:hyperlink>
        </w:p>
        <w:p w:rsidR="00C51EF0" w:rsidRPr="00C51EF0" w:rsidRDefault="00C51EF0">
          <w:pPr>
            <w:pStyle w:val="TOC2"/>
            <w:tabs>
              <w:tab w:val="right" w:leader="dot" w:pos="9016"/>
            </w:tabs>
            <w:rPr>
              <w:noProof/>
            </w:rPr>
          </w:pPr>
          <w:hyperlink w:anchor="_Toc241908424" w:history="1">
            <w:r w:rsidRPr="00C51EF0">
              <w:rPr>
                <w:rStyle w:val="Hyperlink"/>
                <w:noProof/>
                <w:color w:val="auto"/>
              </w:rPr>
              <w:t>4.10 Life Application</w:t>
            </w:r>
            <w:r w:rsidRPr="00C51EF0">
              <w:rPr>
                <w:noProof/>
              </w:rPr>
              <w:tab/>
            </w:r>
            <w:r w:rsidRPr="00C51EF0">
              <w:rPr>
                <w:noProof/>
              </w:rPr>
              <w:fldChar w:fldCharType="begin"/>
            </w:r>
            <w:r w:rsidRPr="00C51EF0">
              <w:rPr>
                <w:noProof/>
              </w:rPr>
              <w:instrText xml:space="preserve"> PAGEREF _Toc241908424 \h </w:instrText>
            </w:r>
            <w:r w:rsidRPr="00C51EF0">
              <w:rPr>
                <w:noProof/>
              </w:rPr>
            </w:r>
            <w:r w:rsidRPr="00C51EF0">
              <w:rPr>
                <w:noProof/>
              </w:rPr>
              <w:fldChar w:fldCharType="separate"/>
            </w:r>
            <w:r w:rsidRPr="00C51EF0">
              <w:rPr>
                <w:noProof/>
              </w:rPr>
              <w:t>31</w:t>
            </w:r>
            <w:r w:rsidRPr="00C51EF0">
              <w:rPr>
                <w:noProof/>
              </w:rPr>
              <w:fldChar w:fldCharType="end"/>
            </w:r>
          </w:hyperlink>
        </w:p>
        <w:p w:rsidR="00C51EF0" w:rsidRPr="00C51EF0" w:rsidRDefault="00C51EF0">
          <w:pPr>
            <w:pStyle w:val="TOC2"/>
            <w:tabs>
              <w:tab w:val="right" w:leader="dot" w:pos="9016"/>
            </w:tabs>
            <w:rPr>
              <w:noProof/>
            </w:rPr>
          </w:pPr>
          <w:hyperlink w:anchor="_Toc241908425" w:history="1">
            <w:r w:rsidRPr="00C51EF0">
              <w:rPr>
                <w:rStyle w:val="Hyperlink"/>
                <w:noProof/>
                <w:color w:val="auto"/>
              </w:rPr>
              <w:t>4.11 Discussion Questions</w:t>
            </w:r>
            <w:r w:rsidRPr="00C51EF0">
              <w:rPr>
                <w:noProof/>
              </w:rPr>
              <w:tab/>
            </w:r>
            <w:r w:rsidRPr="00C51EF0">
              <w:rPr>
                <w:noProof/>
              </w:rPr>
              <w:fldChar w:fldCharType="begin"/>
            </w:r>
            <w:r w:rsidRPr="00C51EF0">
              <w:rPr>
                <w:noProof/>
              </w:rPr>
              <w:instrText xml:space="preserve"> PAGEREF _Toc241908425 \h </w:instrText>
            </w:r>
            <w:r w:rsidRPr="00C51EF0">
              <w:rPr>
                <w:noProof/>
              </w:rPr>
            </w:r>
            <w:r w:rsidRPr="00C51EF0">
              <w:rPr>
                <w:noProof/>
              </w:rPr>
              <w:fldChar w:fldCharType="separate"/>
            </w:r>
            <w:r w:rsidRPr="00C51EF0">
              <w:rPr>
                <w:noProof/>
              </w:rPr>
              <w:t>32</w:t>
            </w:r>
            <w:r w:rsidRPr="00C51EF0">
              <w:rPr>
                <w:noProof/>
              </w:rPr>
              <w:fldChar w:fldCharType="end"/>
            </w:r>
          </w:hyperlink>
        </w:p>
        <w:p w:rsidR="00C51EF0" w:rsidRPr="00C51EF0" w:rsidRDefault="00C51EF0">
          <w:pPr>
            <w:pStyle w:val="TOC2"/>
            <w:tabs>
              <w:tab w:val="right" w:leader="dot" w:pos="9016"/>
            </w:tabs>
            <w:rPr>
              <w:noProof/>
            </w:rPr>
          </w:pPr>
          <w:hyperlink w:anchor="_Toc241908426" w:history="1">
            <w:r w:rsidRPr="00C51EF0">
              <w:rPr>
                <w:rStyle w:val="Hyperlink"/>
                <w:noProof/>
                <w:color w:val="auto"/>
              </w:rPr>
              <w:t>4.12 Further Reading</w:t>
            </w:r>
            <w:r w:rsidRPr="00C51EF0">
              <w:rPr>
                <w:noProof/>
              </w:rPr>
              <w:tab/>
            </w:r>
            <w:r w:rsidRPr="00C51EF0">
              <w:rPr>
                <w:noProof/>
              </w:rPr>
              <w:fldChar w:fldCharType="begin"/>
            </w:r>
            <w:r w:rsidRPr="00C51EF0">
              <w:rPr>
                <w:noProof/>
              </w:rPr>
              <w:instrText xml:space="preserve"> PAGEREF _Toc241908426 \h </w:instrText>
            </w:r>
            <w:r w:rsidRPr="00C51EF0">
              <w:rPr>
                <w:noProof/>
              </w:rPr>
            </w:r>
            <w:r w:rsidRPr="00C51EF0">
              <w:rPr>
                <w:noProof/>
              </w:rPr>
              <w:fldChar w:fldCharType="separate"/>
            </w:r>
            <w:r w:rsidRPr="00C51EF0">
              <w:rPr>
                <w:noProof/>
              </w:rPr>
              <w:t>32</w:t>
            </w:r>
            <w:r w:rsidRPr="00C51EF0">
              <w:rPr>
                <w:noProof/>
              </w:rPr>
              <w:fldChar w:fldCharType="end"/>
            </w:r>
          </w:hyperlink>
        </w:p>
        <w:p w:rsidR="00C51EF0" w:rsidRPr="00C51EF0" w:rsidRDefault="00C51EF0">
          <w:pPr>
            <w:pStyle w:val="TOC1"/>
            <w:tabs>
              <w:tab w:val="right" w:leader="dot" w:pos="9016"/>
            </w:tabs>
            <w:rPr>
              <w:noProof/>
            </w:rPr>
          </w:pPr>
          <w:hyperlink w:anchor="_Toc241908427" w:history="1">
            <w:r w:rsidRPr="00C51EF0">
              <w:rPr>
                <w:rStyle w:val="Hyperlink"/>
                <w:noProof/>
                <w:color w:val="auto"/>
              </w:rPr>
              <w:t>UNIT FIVE: THE ANCIENT NEAR EASTERN WORLD AND THE BIBLE</w:t>
            </w:r>
            <w:r w:rsidRPr="00C51EF0">
              <w:rPr>
                <w:noProof/>
              </w:rPr>
              <w:tab/>
            </w:r>
            <w:r w:rsidRPr="00C51EF0">
              <w:rPr>
                <w:noProof/>
              </w:rPr>
              <w:fldChar w:fldCharType="begin"/>
            </w:r>
            <w:r w:rsidRPr="00C51EF0">
              <w:rPr>
                <w:noProof/>
              </w:rPr>
              <w:instrText xml:space="preserve"> PAGEREF _Toc241908427 \h </w:instrText>
            </w:r>
            <w:r w:rsidRPr="00C51EF0">
              <w:rPr>
                <w:noProof/>
              </w:rPr>
            </w:r>
            <w:r w:rsidRPr="00C51EF0">
              <w:rPr>
                <w:noProof/>
              </w:rPr>
              <w:fldChar w:fldCharType="separate"/>
            </w:r>
            <w:r w:rsidRPr="00C51EF0">
              <w:rPr>
                <w:noProof/>
              </w:rPr>
              <w:t>33</w:t>
            </w:r>
            <w:r w:rsidRPr="00C51EF0">
              <w:rPr>
                <w:noProof/>
              </w:rPr>
              <w:fldChar w:fldCharType="end"/>
            </w:r>
          </w:hyperlink>
        </w:p>
        <w:p w:rsidR="00C51EF0" w:rsidRPr="00C51EF0" w:rsidRDefault="00C51EF0">
          <w:pPr>
            <w:pStyle w:val="TOC2"/>
            <w:tabs>
              <w:tab w:val="right" w:leader="dot" w:pos="9016"/>
            </w:tabs>
            <w:rPr>
              <w:noProof/>
            </w:rPr>
          </w:pPr>
          <w:hyperlink w:anchor="_Toc241908428" w:history="1">
            <w:r w:rsidRPr="00C51EF0">
              <w:rPr>
                <w:rStyle w:val="Hyperlink"/>
                <w:noProof/>
                <w:color w:val="auto"/>
              </w:rPr>
              <w:t>5.1 Introduction</w:t>
            </w:r>
            <w:r w:rsidRPr="00C51EF0">
              <w:rPr>
                <w:noProof/>
              </w:rPr>
              <w:tab/>
            </w:r>
            <w:r w:rsidRPr="00C51EF0">
              <w:rPr>
                <w:noProof/>
              </w:rPr>
              <w:fldChar w:fldCharType="begin"/>
            </w:r>
            <w:r w:rsidRPr="00C51EF0">
              <w:rPr>
                <w:noProof/>
              </w:rPr>
              <w:instrText xml:space="preserve"> PAGEREF _Toc241908428 \h </w:instrText>
            </w:r>
            <w:r w:rsidRPr="00C51EF0">
              <w:rPr>
                <w:noProof/>
              </w:rPr>
            </w:r>
            <w:r w:rsidRPr="00C51EF0">
              <w:rPr>
                <w:noProof/>
              </w:rPr>
              <w:fldChar w:fldCharType="separate"/>
            </w:r>
            <w:r w:rsidRPr="00C51EF0">
              <w:rPr>
                <w:noProof/>
              </w:rPr>
              <w:t>33</w:t>
            </w:r>
            <w:r w:rsidRPr="00C51EF0">
              <w:rPr>
                <w:noProof/>
              </w:rPr>
              <w:fldChar w:fldCharType="end"/>
            </w:r>
          </w:hyperlink>
        </w:p>
        <w:p w:rsidR="00C51EF0" w:rsidRPr="00C51EF0" w:rsidRDefault="00C51EF0">
          <w:pPr>
            <w:pStyle w:val="TOC2"/>
            <w:tabs>
              <w:tab w:val="right" w:leader="dot" w:pos="9016"/>
            </w:tabs>
            <w:rPr>
              <w:noProof/>
            </w:rPr>
          </w:pPr>
          <w:hyperlink w:anchor="_Toc241908429" w:history="1">
            <w:r w:rsidRPr="00C51EF0">
              <w:rPr>
                <w:rStyle w:val="Hyperlink"/>
                <w:noProof/>
                <w:color w:val="auto"/>
              </w:rPr>
              <w:t>5.2 Learning Objectives</w:t>
            </w:r>
            <w:r w:rsidRPr="00C51EF0">
              <w:rPr>
                <w:noProof/>
              </w:rPr>
              <w:tab/>
            </w:r>
            <w:r w:rsidRPr="00C51EF0">
              <w:rPr>
                <w:noProof/>
              </w:rPr>
              <w:fldChar w:fldCharType="begin"/>
            </w:r>
            <w:r w:rsidRPr="00C51EF0">
              <w:rPr>
                <w:noProof/>
              </w:rPr>
              <w:instrText xml:space="preserve"> PAGEREF _Toc241908429 \h </w:instrText>
            </w:r>
            <w:r w:rsidRPr="00C51EF0">
              <w:rPr>
                <w:noProof/>
              </w:rPr>
            </w:r>
            <w:r w:rsidRPr="00C51EF0">
              <w:rPr>
                <w:noProof/>
              </w:rPr>
              <w:fldChar w:fldCharType="separate"/>
            </w:r>
            <w:r w:rsidRPr="00C51EF0">
              <w:rPr>
                <w:noProof/>
              </w:rPr>
              <w:t>33</w:t>
            </w:r>
            <w:r w:rsidRPr="00C51EF0">
              <w:rPr>
                <w:noProof/>
              </w:rPr>
              <w:fldChar w:fldCharType="end"/>
            </w:r>
          </w:hyperlink>
        </w:p>
        <w:p w:rsidR="00C51EF0" w:rsidRPr="00C51EF0" w:rsidRDefault="00C51EF0">
          <w:pPr>
            <w:pStyle w:val="TOC2"/>
            <w:tabs>
              <w:tab w:val="right" w:leader="dot" w:pos="9016"/>
            </w:tabs>
            <w:rPr>
              <w:noProof/>
            </w:rPr>
          </w:pPr>
          <w:hyperlink w:anchor="_Toc241908430" w:history="1">
            <w:r w:rsidRPr="00C51EF0">
              <w:rPr>
                <w:rStyle w:val="Hyperlink"/>
                <w:noProof/>
                <w:color w:val="auto"/>
              </w:rPr>
              <w:t>5.3 The Decipherment of Ancient Scripts</w:t>
            </w:r>
            <w:r w:rsidRPr="00C51EF0">
              <w:rPr>
                <w:noProof/>
              </w:rPr>
              <w:tab/>
            </w:r>
            <w:r w:rsidRPr="00C51EF0">
              <w:rPr>
                <w:noProof/>
              </w:rPr>
              <w:fldChar w:fldCharType="begin"/>
            </w:r>
            <w:r w:rsidRPr="00C51EF0">
              <w:rPr>
                <w:noProof/>
              </w:rPr>
              <w:instrText xml:space="preserve"> PAGEREF _Toc241908430 \h </w:instrText>
            </w:r>
            <w:r w:rsidRPr="00C51EF0">
              <w:rPr>
                <w:noProof/>
              </w:rPr>
            </w:r>
            <w:r w:rsidRPr="00C51EF0">
              <w:rPr>
                <w:noProof/>
              </w:rPr>
              <w:fldChar w:fldCharType="separate"/>
            </w:r>
            <w:r w:rsidRPr="00C51EF0">
              <w:rPr>
                <w:noProof/>
              </w:rPr>
              <w:t>33</w:t>
            </w:r>
            <w:r w:rsidRPr="00C51EF0">
              <w:rPr>
                <w:noProof/>
              </w:rPr>
              <w:fldChar w:fldCharType="end"/>
            </w:r>
          </w:hyperlink>
        </w:p>
        <w:p w:rsidR="00C51EF0" w:rsidRPr="00C51EF0" w:rsidRDefault="00C51EF0">
          <w:pPr>
            <w:pStyle w:val="TOC2"/>
            <w:tabs>
              <w:tab w:val="right" w:leader="dot" w:pos="9016"/>
            </w:tabs>
            <w:rPr>
              <w:noProof/>
            </w:rPr>
          </w:pPr>
          <w:hyperlink w:anchor="_Toc241908431" w:history="1">
            <w:r w:rsidRPr="00C51EF0">
              <w:rPr>
                <w:rStyle w:val="Hyperlink"/>
                <w:noProof/>
                <w:color w:val="auto"/>
              </w:rPr>
              <w:t>5.4 Major Discoveries</w:t>
            </w:r>
            <w:r w:rsidRPr="00C51EF0">
              <w:rPr>
                <w:noProof/>
              </w:rPr>
              <w:tab/>
            </w:r>
            <w:r w:rsidRPr="00C51EF0">
              <w:rPr>
                <w:noProof/>
              </w:rPr>
              <w:fldChar w:fldCharType="begin"/>
            </w:r>
            <w:r w:rsidRPr="00C51EF0">
              <w:rPr>
                <w:noProof/>
              </w:rPr>
              <w:instrText xml:space="preserve"> PAGEREF _Toc241908431 \h </w:instrText>
            </w:r>
            <w:r w:rsidRPr="00C51EF0">
              <w:rPr>
                <w:noProof/>
              </w:rPr>
            </w:r>
            <w:r w:rsidRPr="00C51EF0">
              <w:rPr>
                <w:noProof/>
              </w:rPr>
              <w:fldChar w:fldCharType="separate"/>
            </w:r>
            <w:r w:rsidRPr="00C51EF0">
              <w:rPr>
                <w:noProof/>
              </w:rPr>
              <w:t>34</w:t>
            </w:r>
            <w:r w:rsidRPr="00C51EF0">
              <w:rPr>
                <w:noProof/>
              </w:rPr>
              <w:fldChar w:fldCharType="end"/>
            </w:r>
          </w:hyperlink>
        </w:p>
        <w:p w:rsidR="00C51EF0" w:rsidRPr="00C51EF0" w:rsidRDefault="00C51EF0">
          <w:pPr>
            <w:pStyle w:val="TOC2"/>
            <w:tabs>
              <w:tab w:val="right" w:leader="dot" w:pos="9016"/>
            </w:tabs>
            <w:rPr>
              <w:noProof/>
            </w:rPr>
          </w:pPr>
          <w:hyperlink w:anchor="_Toc241908432" w:history="1">
            <w:r w:rsidRPr="00C51EF0">
              <w:rPr>
                <w:rStyle w:val="Hyperlink"/>
                <w:noProof/>
                <w:color w:val="auto"/>
              </w:rPr>
              <w:t>5.5 Collections of Texts for Students</w:t>
            </w:r>
            <w:r w:rsidRPr="00C51EF0">
              <w:rPr>
                <w:noProof/>
              </w:rPr>
              <w:tab/>
            </w:r>
            <w:r w:rsidRPr="00C51EF0">
              <w:rPr>
                <w:noProof/>
              </w:rPr>
              <w:fldChar w:fldCharType="begin"/>
            </w:r>
            <w:r w:rsidRPr="00C51EF0">
              <w:rPr>
                <w:noProof/>
              </w:rPr>
              <w:instrText xml:space="preserve"> PAGEREF _Toc241908432 \h </w:instrText>
            </w:r>
            <w:r w:rsidRPr="00C51EF0">
              <w:rPr>
                <w:noProof/>
              </w:rPr>
            </w:r>
            <w:r w:rsidRPr="00C51EF0">
              <w:rPr>
                <w:noProof/>
              </w:rPr>
              <w:fldChar w:fldCharType="separate"/>
            </w:r>
            <w:r w:rsidRPr="00C51EF0">
              <w:rPr>
                <w:noProof/>
              </w:rPr>
              <w:t>37</w:t>
            </w:r>
            <w:r w:rsidRPr="00C51EF0">
              <w:rPr>
                <w:noProof/>
              </w:rPr>
              <w:fldChar w:fldCharType="end"/>
            </w:r>
          </w:hyperlink>
        </w:p>
        <w:p w:rsidR="00C51EF0" w:rsidRPr="00C51EF0" w:rsidRDefault="00C51EF0">
          <w:pPr>
            <w:pStyle w:val="TOC2"/>
            <w:tabs>
              <w:tab w:val="right" w:leader="dot" w:pos="9016"/>
            </w:tabs>
            <w:rPr>
              <w:noProof/>
            </w:rPr>
          </w:pPr>
          <w:hyperlink w:anchor="_Toc241908433" w:history="1">
            <w:r w:rsidRPr="00C51EF0">
              <w:rPr>
                <w:rStyle w:val="Hyperlink"/>
                <w:noProof/>
                <w:color w:val="auto"/>
              </w:rPr>
              <w:t>5.6 Rules for Careful Comparison</w:t>
            </w:r>
            <w:r w:rsidRPr="00C51EF0">
              <w:rPr>
                <w:noProof/>
              </w:rPr>
              <w:tab/>
            </w:r>
            <w:r w:rsidRPr="00C51EF0">
              <w:rPr>
                <w:noProof/>
              </w:rPr>
              <w:fldChar w:fldCharType="begin"/>
            </w:r>
            <w:r w:rsidRPr="00C51EF0">
              <w:rPr>
                <w:noProof/>
              </w:rPr>
              <w:instrText xml:space="preserve"> PAGEREF _Toc241908433 \h </w:instrText>
            </w:r>
            <w:r w:rsidRPr="00C51EF0">
              <w:rPr>
                <w:noProof/>
              </w:rPr>
            </w:r>
            <w:r w:rsidRPr="00C51EF0">
              <w:rPr>
                <w:noProof/>
              </w:rPr>
              <w:fldChar w:fldCharType="separate"/>
            </w:r>
            <w:r w:rsidRPr="00C51EF0">
              <w:rPr>
                <w:noProof/>
              </w:rPr>
              <w:t>38</w:t>
            </w:r>
            <w:r w:rsidRPr="00C51EF0">
              <w:rPr>
                <w:noProof/>
              </w:rPr>
              <w:fldChar w:fldCharType="end"/>
            </w:r>
          </w:hyperlink>
        </w:p>
        <w:p w:rsidR="00C51EF0" w:rsidRPr="00C51EF0" w:rsidRDefault="00C51EF0">
          <w:pPr>
            <w:pStyle w:val="TOC2"/>
            <w:tabs>
              <w:tab w:val="right" w:leader="dot" w:pos="9016"/>
            </w:tabs>
            <w:rPr>
              <w:noProof/>
            </w:rPr>
          </w:pPr>
          <w:hyperlink w:anchor="_Toc241908434" w:history="1">
            <w:r w:rsidRPr="00C51EF0">
              <w:rPr>
                <w:rStyle w:val="Hyperlink"/>
                <w:noProof/>
                <w:color w:val="auto"/>
              </w:rPr>
              <w:t>5.7 Theological Significance</w:t>
            </w:r>
            <w:r w:rsidRPr="00C51EF0">
              <w:rPr>
                <w:noProof/>
              </w:rPr>
              <w:tab/>
            </w:r>
            <w:r w:rsidRPr="00C51EF0">
              <w:rPr>
                <w:noProof/>
              </w:rPr>
              <w:fldChar w:fldCharType="begin"/>
            </w:r>
            <w:r w:rsidRPr="00C51EF0">
              <w:rPr>
                <w:noProof/>
              </w:rPr>
              <w:instrText xml:space="preserve"> PAGEREF _Toc241908434 \h </w:instrText>
            </w:r>
            <w:r w:rsidRPr="00C51EF0">
              <w:rPr>
                <w:noProof/>
              </w:rPr>
            </w:r>
            <w:r w:rsidRPr="00C51EF0">
              <w:rPr>
                <w:noProof/>
              </w:rPr>
              <w:fldChar w:fldCharType="separate"/>
            </w:r>
            <w:r w:rsidRPr="00C51EF0">
              <w:rPr>
                <w:noProof/>
              </w:rPr>
              <w:t>38</w:t>
            </w:r>
            <w:r w:rsidRPr="00C51EF0">
              <w:rPr>
                <w:noProof/>
              </w:rPr>
              <w:fldChar w:fldCharType="end"/>
            </w:r>
          </w:hyperlink>
        </w:p>
        <w:p w:rsidR="00C51EF0" w:rsidRPr="00C51EF0" w:rsidRDefault="00C51EF0">
          <w:pPr>
            <w:pStyle w:val="TOC2"/>
            <w:tabs>
              <w:tab w:val="right" w:leader="dot" w:pos="9016"/>
            </w:tabs>
            <w:rPr>
              <w:noProof/>
            </w:rPr>
          </w:pPr>
          <w:hyperlink w:anchor="_Toc241908435" w:history="1">
            <w:r w:rsidRPr="00C51EF0">
              <w:rPr>
                <w:rStyle w:val="Hyperlink"/>
                <w:noProof/>
                <w:color w:val="auto"/>
              </w:rPr>
              <w:t>5.8 Summary</w:t>
            </w:r>
            <w:r w:rsidRPr="00C51EF0">
              <w:rPr>
                <w:noProof/>
              </w:rPr>
              <w:tab/>
            </w:r>
            <w:r w:rsidRPr="00C51EF0">
              <w:rPr>
                <w:noProof/>
              </w:rPr>
              <w:fldChar w:fldCharType="begin"/>
            </w:r>
            <w:r w:rsidRPr="00C51EF0">
              <w:rPr>
                <w:noProof/>
              </w:rPr>
              <w:instrText xml:space="preserve"> PAGEREF _Toc241908435 \h </w:instrText>
            </w:r>
            <w:r w:rsidRPr="00C51EF0">
              <w:rPr>
                <w:noProof/>
              </w:rPr>
            </w:r>
            <w:r w:rsidRPr="00C51EF0">
              <w:rPr>
                <w:noProof/>
              </w:rPr>
              <w:fldChar w:fldCharType="separate"/>
            </w:r>
            <w:r w:rsidRPr="00C51EF0">
              <w:rPr>
                <w:noProof/>
              </w:rPr>
              <w:t>39</w:t>
            </w:r>
            <w:r w:rsidRPr="00C51EF0">
              <w:rPr>
                <w:noProof/>
              </w:rPr>
              <w:fldChar w:fldCharType="end"/>
            </w:r>
          </w:hyperlink>
        </w:p>
        <w:p w:rsidR="00C51EF0" w:rsidRPr="00C51EF0" w:rsidRDefault="00C51EF0">
          <w:pPr>
            <w:pStyle w:val="TOC2"/>
            <w:tabs>
              <w:tab w:val="right" w:leader="dot" w:pos="9016"/>
            </w:tabs>
            <w:rPr>
              <w:noProof/>
            </w:rPr>
          </w:pPr>
          <w:hyperlink w:anchor="_Toc241908436" w:history="1">
            <w:r w:rsidRPr="00C51EF0">
              <w:rPr>
                <w:rStyle w:val="Hyperlink"/>
                <w:noProof/>
                <w:color w:val="auto"/>
              </w:rPr>
              <w:t>5.9 Life Application</w:t>
            </w:r>
            <w:r w:rsidRPr="00C51EF0">
              <w:rPr>
                <w:noProof/>
              </w:rPr>
              <w:tab/>
            </w:r>
            <w:r w:rsidRPr="00C51EF0">
              <w:rPr>
                <w:noProof/>
              </w:rPr>
              <w:fldChar w:fldCharType="begin"/>
            </w:r>
            <w:r w:rsidRPr="00C51EF0">
              <w:rPr>
                <w:noProof/>
              </w:rPr>
              <w:instrText xml:space="preserve"> PAGEREF _Toc241908436 \h </w:instrText>
            </w:r>
            <w:r w:rsidRPr="00C51EF0">
              <w:rPr>
                <w:noProof/>
              </w:rPr>
            </w:r>
            <w:r w:rsidRPr="00C51EF0">
              <w:rPr>
                <w:noProof/>
              </w:rPr>
              <w:fldChar w:fldCharType="separate"/>
            </w:r>
            <w:r w:rsidRPr="00C51EF0">
              <w:rPr>
                <w:noProof/>
              </w:rPr>
              <w:t>39</w:t>
            </w:r>
            <w:r w:rsidRPr="00C51EF0">
              <w:rPr>
                <w:noProof/>
              </w:rPr>
              <w:fldChar w:fldCharType="end"/>
            </w:r>
          </w:hyperlink>
        </w:p>
        <w:p w:rsidR="00C51EF0" w:rsidRPr="00C51EF0" w:rsidRDefault="00C51EF0">
          <w:pPr>
            <w:pStyle w:val="TOC2"/>
            <w:tabs>
              <w:tab w:val="right" w:leader="dot" w:pos="9016"/>
            </w:tabs>
            <w:rPr>
              <w:noProof/>
            </w:rPr>
          </w:pPr>
          <w:hyperlink w:anchor="_Toc241908437" w:history="1">
            <w:r w:rsidRPr="00C51EF0">
              <w:rPr>
                <w:rStyle w:val="Hyperlink"/>
                <w:noProof/>
                <w:color w:val="auto"/>
              </w:rPr>
              <w:t>5.10 Discussion Questions</w:t>
            </w:r>
            <w:r w:rsidRPr="00C51EF0">
              <w:rPr>
                <w:noProof/>
              </w:rPr>
              <w:tab/>
            </w:r>
            <w:r w:rsidRPr="00C51EF0">
              <w:rPr>
                <w:noProof/>
              </w:rPr>
              <w:fldChar w:fldCharType="begin"/>
            </w:r>
            <w:r w:rsidRPr="00C51EF0">
              <w:rPr>
                <w:noProof/>
              </w:rPr>
              <w:instrText xml:space="preserve"> PAGEREF _Toc241908437 \h </w:instrText>
            </w:r>
            <w:r w:rsidRPr="00C51EF0">
              <w:rPr>
                <w:noProof/>
              </w:rPr>
            </w:r>
            <w:r w:rsidRPr="00C51EF0">
              <w:rPr>
                <w:noProof/>
              </w:rPr>
              <w:fldChar w:fldCharType="separate"/>
            </w:r>
            <w:r w:rsidRPr="00C51EF0">
              <w:rPr>
                <w:noProof/>
              </w:rPr>
              <w:t>40</w:t>
            </w:r>
            <w:r w:rsidRPr="00C51EF0">
              <w:rPr>
                <w:noProof/>
              </w:rPr>
              <w:fldChar w:fldCharType="end"/>
            </w:r>
          </w:hyperlink>
        </w:p>
        <w:p w:rsidR="00C51EF0" w:rsidRPr="00C51EF0" w:rsidRDefault="00C51EF0">
          <w:pPr>
            <w:pStyle w:val="TOC2"/>
            <w:tabs>
              <w:tab w:val="right" w:leader="dot" w:pos="9016"/>
            </w:tabs>
            <w:rPr>
              <w:noProof/>
            </w:rPr>
          </w:pPr>
          <w:hyperlink w:anchor="_Toc241908438" w:history="1">
            <w:r w:rsidRPr="00C51EF0">
              <w:rPr>
                <w:rStyle w:val="Hyperlink"/>
                <w:noProof/>
                <w:color w:val="auto"/>
              </w:rPr>
              <w:t>5.11 Further Reading</w:t>
            </w:r>
            <w:r w:rsidRPr="00C51EF0">
              <w:rPr>
                <w:noProof/>
              </w:rPr>
              <w:tab/>
            </w:r>
            <w:r w:rsidRPr="00C51EF0">
              <w:rPr>
                <w:noProof/>
              </w:rPr>
              <w:fldChar w:fldCharType="begin"/>
            </w:r>
            <w:r w:rsidRPr="00C51EF0">
              <w:rPr>
                <w:noProof/>
              </w:rPr>
              <w:instrText xml:space="preserve"> PAGEREF _Toc241908438 \h </w:instrText>
            </w:r>
            <w:r w:rsidRPr="00C51EF0">
              <w:rPr>
                <w:noProof/>
              </w:rPr>
            </w:r>
            <w:r w:rsidRPr="00C51EF0">
              <w:rPr>
                <w:noProof/>
              </w:rPr>
              <w:fldChar w:fldCharType="separate"/>
            </w:r>
            <w:r w:rsidRPr="00C51EF0">
              <w:rPr>
                <w:noProof/>
              </w:rPr>
              <w:t>40</w:t>
            </w:r>
            <w:r w:rsidRPr="00C51EF0">
              <w:rPr>
                <w:noProof/>
              </w:rPr>
              <w:fldChar w:fldCharType="end"/>
            </w:r>
          </w:hyperlink>
        </w:p>
        <w:p w:rsidR="00C51EF0" w:rsidRPr="00C51EF0" w:rsidRDefault="00C51EF0">
          <w:pPr>
            <w:pStyle w:val="TOC1"/>
            <w:tabs>
              <w:tab w:val="right" w:leader="dot" w:pos="9016"/>
            </w:tabs>
            <w:rPr>
              <w:noProof/>
            </w:rPr>
          </w:pPr>
          <w:hyperlink w:anchor="_Toc241908439" w:history="1">
            <w:r w:rsidRPr="00C51EF0">
              <w:rPr>
                <w:rStyle w:val="Hyperlink"/>
                <w:noProof/>
                <w:color w:val="auto"/>
              </w:rPr>
              <w:t>UNIT SIX: ARCHAEOLOGY AND THE PATRIARCHAL NARRATIVES</w:t>
            </w:r>
            <w:r w:rsidRPr="00C51EF0">
              <w:rPr>
                <w:noProof/>
              </w:rPr>
              <w:tab/>
            </w:r>
            <w:r w:rsidRPr="00C51EF0">
              <w:rPr>
                <w:noProof/>
              </w:rPr>
              <w:fldChar w:fldCharType="begin"/>
            </w:r>
            <w:r w:rsidRPr="00C51EF0">
              <w:rPr>
                <w:noProof/>
              </w:rPr>
              <w:instrText xml:space="preserve"> PAGEREF _Toc241908439 \h </w:instrText>
            </w:r>
            <w:r w:rsidRPr="00C51EF0">
              <w:rPr>
                <w:noProof/>
              </w:rPr>
            </w:r>
            <w:r w:rsidRPr="00C51EF0">
              <w:rPr>
                <w:noProof/>
              </w:rPr>
              <w:fldChar w:fldCharType="separate"/>
            </w:r>
            <w:r w:rsidRPr="00C51EF0">
              <w:rPr>
                <w:noProof/>
              </w:rPr>
              <w:t>41</w:t>
            </w:r>
            <w:r w:rsidRPr="00C51EF0">
              <w:rPr>
                <w:noProof/>
              </w:rPr>
              <w:fldChar w:fldCharType="end"/>
            </w:r>
          </w:hyperlink>
        </w:p>
        <w:p w:rsidR="00C51EF0" w:rsidRPr="00C51EF0" w:rsidRDefault="00C51EF0">
          <w:pPr>
            <w:pStyle w:val="TOC2"/>
            <w:tabs>
              <w:tab w:val="right" w:leader="dot" w:pos="9016"/>
            </w:tabs>
            <w:rPr>
              <w:noProof/>
            </w:rPr>
          </w:pPr>
          <w:hyperlink w:anchor="_Toc241908440" w:history="1">
            <w:r w:rsidRPr="00C51EF0">
              <w:rPr>
                <w:rStyle w:val="Hyperlink"/>
                <w:noProof/>
                <w:color w:val="auto"/>
              </w:rPr>
              <w:t>6.1 Introduction</w:t>
            </w:r>
            <w:r w:rsidRPr="00C51EF0">
              <w:rPr>
                <w:noProof/>
              </w:rPr>
              <w:tab/>
            </w:r>
            <w:r w:rsidRPr="00C51EF0">
              <w:rPr>
                <w:noProof/>
              </w:rPr>
              <w:fldChar w:fldCharType="begin"/>
            </w:r>
            <w:r w:rsidRPr="00C51EF0">
              <w:rPr>
                <w:noProof/>
              </w:rPr>
              <w:instrText xml:space="preserve"> PAGEREF _Toc241908440 \h </w:instrText>
            </w:r>
            <w:r w:rsidRPr="00C51EF0">
              <w:rPr>
                <w:noProof/>
              </w:rPr>
            </w:r>
            <w:r w:rsidRPr="00C51EF0">
              <w:rPr>
                <w:noProof/>
              </w:rPr>
              <w:fldChar w:fldCharType="separate"/>
            </w:r>
            <w:r w:rsidRPr="00C51EF0">
              <w:rPr>
                <w:noProof/>
              </w:rPr>
              <w:t>41</w:t>
            </w:r>
            <w:r w:rsidRPr="00C51EF0">
              <w:rPr>
                <w:noProof/>
              </w:rPr>
              <w:fldChar w:fldCharType="end"/>
            </w:r>
          </w:hyperlink>
        </w:p>
        <w:p w:rsidR="00C51EF0" w:rsidRPr="00C51EF0" w:rsidRDefault="00C51EF0">
          <w:pPr>
            <w:pStyle w:val="TOC2"/>
            <w:tabs>
              <w:tab w:val="right" w:leader="dot" w:pos="9016"/>
            </w:tabs>
            <w:rPr>
              <w:noProof/>
            </w:rPr>
          </w:pPr>
          <w:hyperlink w:anchor="_Toc241908441" w:history="1">
            <w:r w:rsidRPr="00C51EF0">
              <w:rPr>
                <w:rStyle w:val="Hyperlink"/>
                <w:noProof/>
                <w:color w:val="auto"/>
              </w:rPr>
              <w:t>6.2 Learning Objectives</w:t>
            </w:r>
            <w:r w:rsidRPr="00C51EF0">
              <w:rPr>
                <w:noProof/>
              </w:rPr>
              <w:tab/>
            </w:r>
            <w:r w:rsidRPr="00C51EF0">
              <w:rPr>
                <w:noProof/>
              </w:rPr>
              <w:fldChar w:fldCharType="begin"/>
            </w:r>
            <w:r w:rsidRPr="00C51EF0">
              <w:rPr>
                <w:noProof/>
              </w:rPr>
              <w:instrText xml:space="preserve"> PAGEREF _Toc241908441 \h </w:instrText>
            </w:r>
            <w:r w:rsidRPr="00C51EF0">
              <w:rPr>
                <w:noProof/>
              </w:rPr>
            </w:r>
            <w:r w:rsidRPr="00C51EF0">
              <w:rPr>
                <w:noProof/>
              </w:rPr>
              <w:fldChar w:fldCharType="separate"/>
            </w:r>
            <w:r w:rsidRPr="00C51EF0">
              <w:rPr>
                <w:noProof/>
              </w:rPr>
              <w:t>41</w:t>
            </w:r>
            <w:r w:rsidRPr="00C51EF0">
              <w:rPr>
                <w:noProof/>
              </w:rPr>
              <w:fldChar w:fldCharType="end"/>
            </w:r>
          </w:hyperlink>
        </w:p>
        <w:p w:rsidR="00C51EF0" w:rsidRPr="00C51EF0" w:rsidRDefault="00C51EF0">
          <w:pPr>
            <w:pStyle w:val="TOC2"/>
            <w:tabs>
              <w:tab w:val="right" w:leader="dot" w:pos="9016"/>
            </w:tabs>
            <w:rPr>
              <w:noProof/>
            </w:rPr>
          </w:pPr>
          <w:hyperlink w:anchor="_Toc241908442" w:history="1">
            <w:r w:rsidRPr="00C51EF0">
              <w:rPr>
                <w:rStyle w:val="Hyperlink"/>
                <w:noProof/>
                <w:color w:val="auto"/>
              </w:rPr>
              <w:t>6.3 The Nature of the Evidence</w:t>
            </w:r>
            <w:r w:rsidRPr="00C51EF0">
              <w:rPr>
                <w:noProof/>
              </w:rPr>
              <w:tab/>
            </w:r>
            <w:r w:rsidRPr="00C51EF0">
              <w:rPr>
                <w:noProof/>
              </w:rPr>
              <w:fldChar w:fldCharType="begin"/>
            </w:r>
            <w:r w:rsidRPr="00C51EF0">
              <w:rPr>
                <w:noProof/>
              </w:rPr>
              <w:instrText xml:space="preserve"> PAGEREF _Toc241908442 \h </w:instrText>
            </w:r>
            <w:r w:rsidRPr="00C51EF0">
              <w:rPr>
                <w:noProof/>
              </w:rPr>
            </w:r>
            <w:r w:rsidRPr="00C51EF0">
              <w:rPr>
                <w:noProof/>
              </w:rPr>
              <w:fldChar w:fldCharType="separate"/>
            </w:r>
            <w:r w:rsidRPr="00C51EF0">
              <w:rPr>
                <w:noProof/>
              </w:rPr>
              <w:t>41</w:t>
            </w:r>
            <w:r w:rsidRPr="00C51EF0">
              <w:rPr>
                <w:noProof/>
              </w:rPr>
              <w:fldChar w:fldCharType="end"/>
            </w:r>
          </w:hyperlink>
        </w:p>
        <w:p w:rsidR="00C51EF0" w:rsidRPr="00C51EF0" w:rsidRDefault="00C51EF0">
          <w:pPr>
            <w:pStyle w:val="TOC2"/>
            <w:tabs>
              <w:tab w:val="right" w:leader="dot" w:pos="9016"/>
            </w:tabs>
            <w:rPr>
              <w:noProof/>
            </w:rPr>
          </w:pPr>
          <w:hyperlink w:anchor="_Toc241908443" w:history="1">
            <w:r w:rsidRPr="00C51EF0">
              <w:rPr>
                <w:rStyle w:val="Hyperlink"/>
                <w:noProof/>
                <w:color w:val="auto"/>
              </w:rPr>
              <w:t>6.4 The Albright View</w:t>
            </w:r>
            <w:r w:rsidRPr="00C51EF0">
              <w:rPr>
                <w:noProof/>
              </w:rPr>
              <w:tab/>
            </w:r>
            <w:r w:rsidRPr="00C51EF0">
              <w:rPr>
                <w:noProof/>
              </w:rPr>
              <w:fldChar w:fldCharType="begin"/>
            </w:r>
            <w:r w:rsidRPr="00C51EF0">
              <w:rPr>
                <w:noProof/>
              </w:rPr>
              <w:instrText xml:space="preserve"> PAGEREF _Toc241908443 \h </w:instrText>
            </w:r>
            <w:r w:rsidRPr="00C51EF0">
              <w:rPr>
                <w:noProof/>
              </w:rPr>
            </w:r>
            <w:r w:rsidRPr="00C51EF0">
              <w:rPr>
                <w:noProof/>
              </w:rPr>
              <w:fldChar w:fldCharType="separate"/>
            </w:r>
            <w:r w:rsidRPr="00C51EF0">
              <w:rPr>
                <w:noProof/>
              </w:rPr>
              <w:t>42</w:t>
            </w:r>
            <w:r w:rsidRPr="00C51EF0">
              <w:rPr>
                <w:noProof/>
              </w:rPr>
              <w:fldChar w:fldCharType="end"/>
            </w:r>
          </w:hyperlink>
        </w:p>
        <w:p w:rsidR="00C51EF0" w:rsidRPr="00C51EF0" w:rsidRDefault="00C51EF0">
          <w:pPr>
            <w:pStyle w:val="TOC2"/>
            <w:tabs>
              <w:tab w:val="right" w:leader="dot" w:pos="9016"/>
            </w:tabs>
            <w:rPr>
              <w:noProof/>
            </w:rPr>
          </w:pPr>
          <w:hyperlink w:anchor="_Toc241908444" w:history="1">
            <w:r w:rsidRPr="00C51EF0">
              <w:rPr>
                <w:rStyle w:val="Hyperlink"/>
                <w:noProof/>
                <w:color w:val="auto"/>
              </w:rPr>
              <w:t>6.5 The Challenge</w:t>
            </w:r>
            <w:r w:rsidRPr="00C51EF0">
              <w:rPr>
                <w:noProof/>
              </w:rPr>
              <w:tab/>
            </w:r>
            <w:r w:rsidRPr="00C51EF0">
              <w:rPr>
                <w:noProof/>
              </w:rPr>
              <w:fldChar w:fldCharType="begin"/>
            </w:r>
            <w:r w:rsidRPr="00C51EF0">
              <w:rPr>
                <w:noProof/>
              </w:rPr>
              <w:instrText xml:space="preserve"> PAGEREF _Toc241908444 \h </w:instrText>
            </w:r>
            <w:r w:rsidRPr="00C51EF0">
              <w:rPr>
                <w:noProof/>
              </w:rPr>
            </w:r>
            <w:r w:rsidRPr="00C51EF0">
              <w:rPr>
                <w:noProof/>
              </w:rPr>
              <w:fldChar w:fldCharType="separate"/>
            </w:r>
            <w:r w:rsidRPr="00C51EF0">
              <w:rPr>
                <w:noProof/>
              </w:rPr>
              <w:t>42</w:t>
            </w:r>
            <w:r w:rsidRPr="00C51EF0">
              <w:rPr>
                <w:noProof/>
              </w:rPr>
              <w:fldChar w:fldCharType="end"/>
            </w:r>
          </w:hyperlink>
        </w:p>
        <w:p w:rsidR="00C51EF0" w:rsidRPr="00C51EF0" w:rsidRDefault="00C51EF0">
          <w:pPr>
            <w:pStyle w:val="TOC2"/>
            <w:tabs>
              <w:tab w:val="right" w:leader="dot" w:pos="9016"/>
            </w:tabs>
            <w:rPr>
              <w:noProof/>
            </w:rPr>
          </w:pPr>
          <w:hyperlink w:anchor="_Toc241908445" w:history="1">
            <w:r w:rsidRPr="00C51EF0">
              <w:rPr>
                <w:rStyle w:val="Hyperlink"/>
                <w:noProof/>
                <w:color w:val="auto"/>
              </w:rPr>
              <w:t>6.6 Examining the Main Questions</w:t>
            </w:r>
            <w:r w:rsidRPr="00C51EF0">
              <w:rPr>
                <w:noProof/>
              </w:rPr>
              <w:tab/>
            </w:r>
            <w:r w:rsidRPr="00C51EF0">
              <w:rPr>
                <w:noProof/>
              </w:rPr>
              <w:fldChar w:fldCharType="begin"/>
            </w:r>
            <w:r w:rsidRPr="00C51EF0">
              <w:rPr>
                <w:noProof/>
              </w:rPr>
              <w:instrText xml:space="preserve"> PAGEREF _Toc241908445 \h </w:instrText>
            </w:r>
            <w:r w:rsidRPr="00C51EF0">
              <w:rPr>
                <w:noProof/>
              </w:rPr>
            </w:r>
            <w:r w:rsidRPr="00C51EF0">
              <w:rPr>
                <w:noProof/>
              </w:rPr>
              <w:fldChar w:fldCharType="separate"/>
            </w:r>
            <w:r w:rsidRPr="00C51EF0">
              <w:rPr>
                <w:noProof/>
              </w:rPr>
              <w:t>43</w:t>
            </w:r>
            <w:r w:rsidRPr="00C51EF0">
              <w:rPr>
                <w:noProof/>
              </w:rPr>
              <w:fldChar w:fldCharType="end"/>
            </w:r>
          </w:hyperlink>
        </w:p>
        <w:p w:rsidR="00C51EF0" w:rsidRPr="00C51EF0" w:rsidRDefault="00C51EF0">
          <w:pPr>
            <w:pStyle w:val="TOC2"/>
            <w:tabs>
              <w:tab w:val="right" w:leader="dot" w:pos="9016"/>
            </w:tabs>
            <w:rPr>
              <w:noProof/>
            </w:rPr>
          </w:pPr>
          <w:hyperlink w:anchor="_Toc241908446" w:history="1">
            <w:r w:rsidRPr="00C51EF0">
              <w:rPr>
                <w:rStyle w:val="Hyperlink"/>
                <w:noProof/>
                <w:color w:val="auto"/>
              </w:rPr>
              <w:t>6.7 A Balanced View</w:t>
            </w:r>
            <w:r w:rsidRPr="00C51EF0">
              <w:rPr>
                <w:noProof/>
              </w:rPr>
              <w:tab/>
            </w:r>
            <w:r w:rsidRPr="00C51EF0">
              <w:rPr>
                <w:noProof/>
              </w:rPr>
              <w:fldChar w:fldCharType="begin"/>
            </w:r>
            <w:r w:rsidRPr="00C51EF0">
              <w:rPr>
                <w:noProof/>
              </w:rPr>
              <w:instrText xml:space="preserve"> PAGEREF _Toc241908446 \h </w:instrText>
            </w:r>
            <w:r w:rsidRPr="00C51EF0">
              <w:rPr>
                <w:noProof/>
              </w:rPr>
            </w:r>
            <w:r w:rsidRPr="00C51EF0">
              <w:rPr>
                <w:noProof/>
              </w:rPr>
              <w:fldChar w:fldCharType="separate"/>
            </w:r>
            <w:r w:rsidRPr="00C51EF0">
              <w:rPr>
                <w:noProof/>
              </w:rPr>
              <w:t>45</w:t>
            </w:r>
            <w:r w:rsidRPr="00C51EF0">
              <w:rPr>
                <w:noProof/>
              </w:rPr>
              <w:fldChar w:fldCharType="end"/>
            </w:r>
          </w:hyperlink>
        </w:p>
        <w:p w:rsidR="00C51EF0" w:rsidRPr="00C51EF0" w:rsidRDefault="00C51EF0">
          <w:pPr>
            <w:pStyle w:val="TOC2"/>
            <w:tabs>
              <w:tab w:val="right" w:leader="dot" w:pos="9016"/>
            </w:tabs>
            <w:rPr>
              <w:noProof/>
            </w:rPr>
          </w:pPr>
          <w:hyperlink w:anchor="_Toc241908447" w:history="1">
            <w:r w:rsidRPr="00C51EF0">
              <w:rPr>
                <w:rStyle w:val="Hyperlink"/>
                <w:noProof/>
                <w:color w:val="auto"/>
              </w:rPr>
              <w:t>6.8 An African Perspective</w:t>
            </w:r>
            <w:r w:rsidRPr="00C51EF0">
              <w:rPr>
                <w:noProof/>
              </w:rPr>
              <w:tab/>
            </w:r>
            <w:r w:rsidRPr="00C51EF0">
              <w:rPr>
                <w:noProof/>
              </w:rPr>
              <w:fldChar w:fldCharType="begin"/>
            </w:r>
            <w:r w:rsidRPr="00C51EF0">
              <w:rPr>
                <w:noProof/>
              </w:rPr>
              <w:instrText xml:space="preserve"> PAGEREF _Toc241908447 \h </w:instrText>
            </w:r>
            <w:r w:rsidRPr="00C51EF0">
              <w:rPr>
                <w:noProof/>
              </w:rPr>
            </w:r>
            <w:r w:rsidRPr="00C51EF0">
              <w:rPr>
                <w:noProof/>
              </w:rPr>
              <w:fldChar w:fldCharType="separate"/>
            </w:r>
            <w:r w:rsidRPr="00C51EF0">
              <w:rPr>
                <w:noProof/>
              </w:rPr>
              <w:t>46</w:t>
            </w:r>
            <w:r w:rsidRPr="00C51EF0">
              <w:rPr>
                <w:noProof/>
              </w:rPr>
              <w:fldChar w:fldCharType="end"/>
            </w:r>
          </w:hyperlink>
        </w:p>
        <w:p w:rsidR="00C51EF0" w:rsidRPr="00C51EF0" w:rsidRDefault="00C51EF0">
          <w:pPr>
            <w:pStyle w:val="TOC2"/>
            <w:tabs>
              <w:tab w:val="right" w:leader="dot" w:pos="9016"/>
            </w:tabs>
            <w:rPr>
              <w:noProof/>
            </w:rPr>
          </w:pPr>
          <w:hyperlink w:anchor="_Toc241908448" w:history="1">
            <w:r w:rsidRPr="00C51EF0">
              <w:rPr>
                <w:rStyle w:val="Hyperlink"/>
                <w:noProof/>
                <w:color w:val="auto"/>
              </w:rPr>
              <w:t>6.9 Summary</w:t>
            </w:r>
            <w:r w:rsidRPr="00C51EF0">
              <w:rPr>
                <w:noProof/>
              </w:rPr>
              <w:tab/>
            </w:r>
            <w:r w:rsidRPr="00C51EF0">
              <w:rPr>
                <w:noProof/>
              </w:rPr>
              <w:fldChar w:fldCharType="begin"/>
            </w:r>
            <w:r w:rsidRPr="00C51EF0">
              <w:rPr>
                <w:noProof/>
              </w:rPr>
              <w:instrText xml:space="preserve"> PAGEREF _Toc241908448 \h </w:instrText>
            </w:r>
            <w:r w:rsidRPr="00C51EF0">
              <w:rPr>
                <w:noProof/>
              </w:rPr>
            </w:r>
            <w:r w:rsidRPr="00C51EF0">
              <w:rPr>
                <w:noProof/>
              </w:rPr>
              <w:fldChar w:fldCharType="separate"/>
            </w:r>
            <w:r w:rsidRPr="00C51EF0">
              <w:rPr>
                <w:noProof/>
              </w:rPr>
              <w:t>47</w:t>
            </w:r>
            <w:r w:rsidRPr="00C51EF0">
              <w:rPr>
                <w:noProof/>
              </w:rPr>
              <w:fldChar w:fldCharType="end"/>
            </w:r>
          </w:hyperlink>
        </w:p>
        <w:p w:rsidR="00C51EF0" w:rsidRPr="00C51EF0" w:rsidRDefault="00C51EF0">
          <w:pPr>
            <w:pStyle w:val="TOC2"/>
            <w:tabs>
              <w:tab w:val="right" w:leader="dot" w:pos="9016"/>
            </w:tabs>
            <w:rPr>
              <w:noProof/>
            </w:rPr>
          </w:pPr>
          <w:hyperlink w:anchor="_Toc241908449" w:history="1">
            <w:r w:rsidRPr="00C51EF0">
              <w:rPr>
                <w:rStyle w:val="Hyperlink"/>
                <w:noProof/>
                <w:color w:val="auto"/>
              </w:rPr>
              <w:t>6.10 Life Application</w:t>
            </w:r>
            <w:r w:rsidRPr="00C51EF0">
              <w:rPr>
                <w:noProof/>
              </w:rPr>
              <w:tab/>
            </w:r>
            <w:r w:rsidRPr="00C51EF0">
              <w:rPr>
                <w:noProof/>
              </w:rPr>
              <w:fldChar w:fldCharType="begin"/>
            </w:r>
            <w:r w:rsidRPr="00C51EF0">
              <w:rPr>
                <w:noProof/>
              </w:rPr>
              <w:instrText xml:space="preserve"> PAGEREF _Toc241908449 \h </w:instrText>
            </w:r>
            <w:r w:rsidRPr="00C51EF0">
              <w:rPr>
                <w:noProof/>
              </w:rPr>
            </w:r>
            <w:r w:rsidRPr="00C51EF0">
              <w:rPr>
                <w:noProof/>
              </w:rPr>
              <w:fldChar w:fldCharType="separate"/>
            </w:r>
            <w:r w:rsidRPr="00C51EF0">
              <w:rPr>
                <w:noProof/>
              </w:rPr>
              <w:t>47</w:t>
            </w:r>
            <w:r w:rsidRPr="00C51EF0">
              <w:rPr>
                <w:noProof/>
              </w:rPr>
              <w:fldChar w:fldCharType="end"/>
            </w:r>
          </w:hyperlink>
        </w:p>
        <w:p w:rsidR="00C51EF0" w:rsidRPr="00C51EF0" w:rsidRDefault="00C51EF0">
          <w:pPr>
            <w:pStyle w:val="TOC2"/>
            <w:tabs>
              <w:tab w:val="right" w:leader="dot" w:pos="9016"/>
            </w:tabs>
            <w:rPr>
              <w:noProof/>
            </w:rPr>
          </w:pPr>
          <w:hyperlink w:anchor="_Toc241908450" w:history="1">
            <w:r w:rsidRPr="00C51EF0">
              <w:rPr>
                <w:rStyle w:val="Hyperlink"/>
                <w:noProof/>
                <w:color w:val="auto"/>
              </w:rPr>
              <w:t>6.11 Discussion Questions</w:t>
            </w:r>
            <w:r w:rsidRPr="00C51EF0">
              <w:rPr>
                <w:noProof/>
              </w:rPr>
              <w:tab/>
            </w:r>
            <w:r w:rsidRPr="00C51EF0">
              <w:rPr>
                <w:noProof/>
              </w:rPr>
              <w:fldChar w:fldCharType="begin"/>
            </w:r>
            <w:r w:rsidRPr="00C51EF0">
              <w:rPr>
                <w:noProof/>
              </w:rPr>
              <w:instrText xml:space="preserve"> PAGEREF _Toc241908450 \h </w:instrText>
            </w:r>
            <w:r w:rsidRPr="00C51EF0">
              <w:rPr>
                <w:noProof/>
              </w:rPr>
            </w:r>
            <w:r w:rsidRPr="00C51EF0">
              <w:rPr>
                <w:noProof/>
              </w:rPr>
              <w:fldChar w:fldCharType="separate"/>
            </w:r>
            <w:r w:rsidRPr="00C51EF0">
              <w:rPr>
                <w:noProof/>
              </w:rPr>
              <w:t>48</w:t>
            </w:r>
            <w:r w:rsidRPr="00C51EF0">
              <w:rPr>
                <w:noProof/>
              </w:rPr>
              <w:fldChar w:fldCharType="end"/>
            </w:r>
          </w:hyperlink>
        </w:p>
        <w:p w:rsidR="00C51EF0" w:rsidRPr="00C51EF0" w:rsidRDefault="00C51EF0">
          <w:pPr>
            <w:pStyle w:val="TOC2"/>
            <w:tabs>
              <w:tab w:val="right" w:leader="dot" w:pos="9016"/>
            </w:tabs>
            <w:rPr>
              <w:noProof/>
            </w:rPr>
          </w:pPr>
          <w:hyperlink w:anchor="_Toc241908451" w:history="1">
            <w:r w:rsidRPr="00C51EF0">
              <w:rPr>
                <w:rStyle w:val="Hyperlink"/>
                <w:noProof/>
                <w:color w:val="auto"/>
              </w:rPr>
              <w:t>6.12 Further Reading</w:t>
            </w:r>
            <w:r w:rsidRPr="00C51EF0">
              <w:rPr>
                <w:noProof/>
              </w:rPr>
              <w:tab/>
            </w:r>
            <w:r w:rsidRPr="00C51EF0">
              <w:rPr>
                <w:noProof/>
              </w:rPr>
              <w:fldChar w:fldCharType="begin"/>
            </w:r>
            <w:r w:rsidRPr="00C51EF0">
              <w:rPr>
                <w:noProof/>
              </w:rPr>
              <w:instrText xml:space="preserve"> PAGEREF _Toc241908451 \h </w:instrText>
            </w:r>
            <w:r w:rsidRPr="00C51EF0">
              <w:rPr>
                <w:noProof/>
              </w:rPr>
            </w:r>
            <w:r w:rsidRPr="00C51EF0">
              <w:rPr>
                <w:noProof/>
              </w:rPr>
              <w:fldChar w:fldCharType="separate"/>
            </w:r>
            <w:r w:rsidRPr="00C51EF0">
              <w:rPr>
                <w:noProof/>
              </w:rPr>
              <w:t>48</w:t>
            </w:r>
            <w:r w:rsidRPr="00C51EF0">
              <w:rPr>
                <w:noProof/>
              </w:rPr>
              <w:fldChar w:fldCharType="end"/>
            </w:r>
          </w:hyperlink>
        </w:p>
        <w:p w:rsidR="00C51EF0" w:rsidRPr="00C51EF0" w:rsidRDefault="00C51EF0">
          <w:pPr>
            <w:pStyle w:val="TOC1"/>
            <w:tabs>
              <w:tab w:val="right" w:leader="dot" w:pos="9016"/>
            </w:tabs>
            <w:rPr>
              <w:noProof/>
            </w:rPr>
          </w:pPr>
          <w:hyperlink w:anchor="_Toc241908452" w:history="1">
            <w:r w:rsidRPr="00C51EF0">
              <w:rPr>
                <w:rStyle w:val="Hyperlink"/>
                <w:noProof/>
                <w:color w:val="auto"/>
              </w:rPr>
              <w:t>UNIT SEVEN: THE EXODUS AND THE SETTLEMENT IN CANAAN</w:t>
            </w:r>
            <w:r w:rsidRPr="00C51EF0">
              <w:rPr>
                <w:noProof/>
              </w:rPr>
              <w:tab/>
            </w:r>
            <w:r w:rsidRPr="00C51EF0">
              <w:rPr>
                <w:noProof/>
              </w:rPr>
              <w:fldChar w:fldCharType="begin"/>
            </w:r>
            <w:r w:rsidRPr="00C51EF0">
              <w:rPr>
                <w:noProof/>
              </w:rPr>
              <w:instrText xml:space="preserve"> PAGEREF _Toc241908452 \h </w:instrText>
            </w:r>
            <w:r w:rsidRPr="00C51EF0">
              <w:rPr>
                <w:noProof/>
              </w:rPr>
            </w:r>
            <w:r w:rsidRPr="00C51EF0">
              <w:rPr>
                <w:noProof/>
              </w:rPr>
              <w:fldChar w:fldCharType="separate"/>
            </w:r>
            <w:r w:rsidRPr="00C51EF0">
              <w:rPr>
                <w:noProof/>
              </w:rPr>
              <w:t>49</w:t>
            </w:r>
            <w:r w:rsidRPr="00C51EF0">
              <w:rPr>
                <w:noProof/>
              </w:rPr>
              <w:fldChar w:fldCharType="end"/>
            </w:r>
          </w:hyperlink>
        </w:p>
        <w:p w:rsidR="00C51EF0" w:rsidRPr="00C51EF0" w:rsidRDefault="00C51EF0">
          <w:pPr>
            <w:pStyle w:val="TOC2"/>
            <w:tabs>
              <w:tab w:val="right" w:leader="dot" w:pos="9016"/>
            </w:tabs>
            <w:rPr>
              <w:noProof/>
            </w:rPr>
          </w:pPr>
          <w:hyperlink w:anchor="_Toc241908453" w:history="1">
            <w:r w:rsidRPr="00C51EF0">
              <w:rPr>
                <w:rStyle w:val="Hyperlink"/>
                <w:noProof/>
                <w:color w:val="auto"/>
              </w:rPr>
              <w:t>7.1 Introduction</w:t>
            </w:r>
            <w:r w:rsidRPr="00C51EF0">
              <w:rPr>
                <w:noProof/>
              </w:rPr>
              <w:tab/>
            </w:r>
            <w:r w:rsidRPr="00C51EF0">
              <w:rPr>
                <w:noProof/>
              </w:rPr>
              <w:fldChar w:fldCharType="begin"/>
            </w:r>
            <w:r w:rsidRPr="00C51EF0">
              <w:rPr>
                <w:noProof/>
              </w:rPr>
              <w:instrText xml:space="preserve"> PAGEREF _Toc241908453 \h </w:instrText>
            </w:r>
            <w:r w:rsidRPr="00C51EF0">
              <w:rPr>
                <w:noProof/>
              </w:rPr>
            </w:r>
            <w:r w:rsidRPr="00C51EF0">
              <w:rPr>
                <w:noProof/>
              </w:rPr>
              <w:fldChar w:fldCharType="separate"/>
            </w:r>
            <w:r w:rsidRPr="00C51EF0">
              <w:rPr>
                <w:noProof/>
              </w:rPr>
              <w:t>49</w:t>
            </w:r>
            <w:r w:rsidRPr="00C51EF0">
              <w:rPr>
                <w:noProof/>
              </w:rPr>
              <w:fldChar w:fldCharType="end"/>
            </w:r>
          </w:hyperlink>
        </w:p>
        <w:p w:rsidR="00C51EF0" w:rsidRPr="00C51EF0" w:rsidRDefault="00C51EF0">
          <w:pPr>
            <w:pStyle w:val="TOC2"/>
            <w:tabs>
              <w:tab w:val="right" w:leader="dot" w:pos="9016"/>
            </w:tabs>
            <w:rPr>
              <w:noProof/>
            </w:rPr>
          </w:pPr>
          <w:hyperlink w:anchor="_Toc241908454" w:history="1">
            <w:r w:rsidRPr="00C51EF0">
              <w:rPr>
                <w:rStyle w:val="Hyperlink"/>
                <w:noProof/>
                <w:color w:val="auto"/>
              </w:rPr>
              <w:t>7.2 Learning Objectives</w:t>
            </w:r>
            <w:r w:rsidRPr="00C51EF0">
              <w:rPr>
                <w:noProof/>
              </w:rPr>
              <w:tab/>
            </w:r>
            <w:r w:rsidRPr="00C51EF0">
              <w:rPr>
                <w:noProof/>
              </w:rPr>
              <w:fldChar w:fldCharType="begin"/>
            </w:r>
            <w:r w:rsidRPr="00C51EF0">
              <w:rPr>
                <w:noProof/>
              </w:rPr>
              <w:instrText xml:space="preserve"> PAGEREF _Toc241908454 \h </w:instrText>
            </w:r>
            <w:r w:rsidRPr="00C51EF0">
              <w:rPr>
                <w:noProof/>
              </w:rPr>
            </w:r>
            <w:r w:rsidRPr="00C51EF0">
              <w:rPr>
                <w:noProof/>
              </w:rPr>
              <w:fldChar w:fldCharType="separate"/>
            </w:r>
            <w:r w:rsidRPr="00C51EF0">
              <w:rPr>
                <w:noProof/>
              </w:rPr>
              <w:t>49</w:t>
            </w:r>
            <w:r w:rsidRPr="00C51EF0">
              <w:rPr>
                <w:noProof/>
              </w:rPr>
              <w:fldChar w:fldCharType="end"/>
            </w:r>
          </w:hyperlink>
        </w:p>
        <w:p w:rsidR="00C51EF0" w:rsidRPr="00C51EF0" w:rsidRDefault="00C51EF0">
          <w:pPr>
            <w:pStyle w:val="TOC2"/>
            <w:tabs>
              <w:tab w:val="right" w:leader="dot" w:pos="9016"/>
            </w:tabs>
            <w:rPr>
              <w:noProof/>
            </w:rPr>
          </w:pPr>
          <w:hyperlink w:anchor="_Toc241908455" w:history="1">
            <w:r w:rsidRPr="00C51EF0">
              <w:rPr>
                <w:rStyle w:val="Hyperlink"/>
                <w:noProof/>
                <w:color w:val="auto"/>
              </w:rPr>
              <w:t>7.3 Israel in Egypt</w:t>
            </w:r>
            <w:r w:rsidRPr="00C51EF0">
              <w:rPr>
                <w:noProof/>
              </w:rPr>
              <w:tab/>
            </w:r>
            <w:r w:rsidRPr="00C51EF0">
              <w:rPr>
                <w:noProof/>
              </w:rPr>
              <w:fldChar w:fldCharType="begin"/>
            </w:r>
            <w:r w:rsidRPr="00C51EF0">
              <w:rPr>
                <w:noProof/>
              </w:rPr>
              <w:instrText xml:space="preserve"> PAGEREF _Toc241908455 \h </w:instrText>
            </w:r>
            <w:r w:rsidRPr="00C51EF0">
              <w:rPr>
                <w:noProof/>
              </w:rPr>
            </w:r>
            <w:r w:rsidRPr="00C51EF0">
              <w:rPr>
                <w:noProof/>
              </w:rPr>
              <w:fldChar w:fldCharType="separate"/>
            </w:r>
            <w:r w:rsidRPr="00C51EF0">
              <w:rPr>
                <w:noProof/>
              </w:rPr>
              <w:t>49</w:t>
            </w:r>
            <w:r w:rsidRPr="00C51EF0">
              <w:rPr>
                <w:noProof/>
              </w:rPr>
              <w:fldChar w:fldCharType="end"/>
            </w:r>
          </w:hyperlink>
        </w:p>
        <w:p w:rsidR="00C51EF0" w:rsidRPr="00C51EF0" w:rsidRDefault="00C51EF0">
          <w:pPr>
            <w:pStyle w:val="TOC2"/>
            <w:tabs>
              <w:tab w:val="right" w:leader="dot" w:pos="9016"/>
            </w:tabs>
            <w:rPr>
              <w:noProof/>
            </w:rPr>
          </w:pPr>
          <w:hyperlink w:anchor="_Toc241908456" w:history="1">
            <w:r w:rsidRPr="00C51EF0">
              <w:rPr>
                <w:rStyle w:val="Hyperlink"/>
                <w:noProof/>
                <w:color w:val="auto"/>
              </w:rPr>
              <w:t>7.4 The Merneptah Stele</w:t>
            </w:r>
            <w:r w:rsidRPr="00C51EF0">
              <w:rPr>
                <w:noProof/>
              </w:rPr>
              <w:tab/>
            </w:r>
            <w:r w:rsidRPr="00C51EF0">
              <w:rPr>
                <w:noProof/>
              </w:rPr>
              <w:fldChar w:fldCharType="begin"/>
            </w:r>
            <w:r w:rsidRPr="00C51EF0">
              <w:rPr>
                <w:noProof/>
              </w:rPr>
              <w:instrText xml:space="preserve"> PAGEREF _Toc241908456 \h </w:instrText>
            </w:r>
            <w:r w:rsidRPr="00C51EF0">
              <w:rPr>
                <w:noProof/>
              </w:rPr>
            </w:r>
            <w:r w:rsidRPr="00C51EF0">
              <w:rPr>
                <w:noProof/>
              </w:rPr>
              <w:fldChar w:fldCharType="separate"/>
            </w:r>
            <w:r w:rsidRPr="00C51EF0">
              <w:rPr>
                <w:noProof/>
              </w:rPr>
              <w:t>50</w:t>
            </w:r>
            <w:r w:rsidRPr="00C51EF0">
              <w:rPr>
                <w:noProof/>
              </w:rPr>
              <w:fldChar w:fldCharType="end"/>
            </w:r>
          </w:hyperlink>
        </w:p>
        <w:p w:rsidR="00C51EF0" w:rsidRPr="00C51EF0" w:rsidRDefault="00C51EF0">
          <w:pPr>
            <w:pStyle w:val="TOC2"/>
            <w:tabs>
              <w:tab w:val="right" w:leader="dot" w:pos="9016"/>
            </w:tabs>
            <w:rPr>
              <w:noProof/>
            </w:rPr>
          </w:pPr>
          <w:hyperlink w:anchor="_Toc241908457" w:history="1">
            <w:r w:rsidRPr="00C51EF0">
              <w:rPr>
                <w:rStyle w:val="Hyperlink"/>
                <w:noProof/>
                <w:color w:val="auto"/>
              </w:rPr>
              <w:t>7.5 The Date of the Exodus</w:t>
            </w:r>
            <w:r w:rsidRPr="00C51EF0">
              <w:rPr>
                <w:noProof/>
              </w:rPr>
              <w:tab/>
            </w:r>
            <w:r w:rsidRPr="00C51EF0">
              <w:rPr>
                <w:noProof/>
              </w:rPr>
              <w:fldChar w:fldCharType="begin"/>
            </w:r>
            <w:r w:rsidRPr="00C51EF0">
              <w:rPr>
                <w:noProof/>
              </w:rPr>
              <w:instrText xml:space="preserve"> PAGEREF _Toc241908457 \h </w:instrText>
            </w:r>
            <w:r w:rsidRPr="00C51EF0">
              <w:rPr>
                <w:noProof/>
              </w:rPr>
            </w:r>
            <w:r w:rsidRPr="00C51EF0">
              <w:rPr>
                <w:noProof/>
              </w:rPr>
              <w:fldChar w:fldCharType="separate"/>
            </w:r>
            <w:r w:rsidRPr="00C51EF0">
              <w:rPr>
                <w:noProof/>
              </w:rPr>
              <w:t>51</w:t>
            </w:r>
            <w:r w:rsidRPr="00C51EF0">
              <w:rPr>
                <w:noProof/>
              </w:rPr>
              <w:fldChar w:fldCharType="end"/>
            </w:r>
          </w:hyperlink>
        </w:p>
        <w:p w:rsidR="00C51EF0" w:rsidRPr="00C51EF0" w:rsidRDefault="00C51EF0">
          <w:pPr>
            <w:pStyle w:val="TOC2"/>
            <w:tabs>
              <w:tab w:val="right" w:leader="dot" w:pos="9016"/>
            </w:tabs>
            <w:rPr>
              <w:noProof/>
            </w:rPr>
          </w:pPr>
          <w:hyperlink w:anchor="_Toc241908458" w:history="1">
            <w:r w:rsidRPr="00C51EF0">
              <w:rPr>
                <w:rStyle w:val="Hyperlink"/>
                <w:noProof/>
                <w:color w:val="auto"/>
              </w:rPr>
              <w:t>7.6 The Archaeology of the Conquest Sites</w:t>
            </w:r>
            <w:r w:rsidRPr="00C51EF0">
              <w:rPr>
                <w:noProof/>
              </w:rPr>
              <w:tab/>
            </w:r>
            <w:r w:rsidRPr="00C51EF0">
              <w:rPr>
                <w:noProof/>
              </w:rPr>
              <w:fldChar w:fldCharType="begin"/>
            </w:r>
            <w:r w:rsidRPr="00C51EF0">
              <w:rPr>
                <w:noProof/>
              </w:rPr>
              <w:instrText xml:space="preserve"> PAGEREF _Toc241908458 \h </w:instrText>
            </w:r>
            <w:r w:rsidRPr="00C51EF0">
              <w:rPr>
                <w:noProof/>
              </w:rPr>
            </w:r>
            <w:r w:rsidRPr="00C51EF0">
              <w:rPr>
                <w:noProof/>
              </w:rPr>
              <w:fldChar w:fldCharType="separate"/>
            </w:r>
            <w:r w:rsidRPr="00C51EF0">
              <w:rPr>
                <w:noProof/>
              </w:rPr>
              <w:t>52</w:t>
            </w:r>
            <w:r w:rsidRPr="00C51EF0">
              <w:rPr>
                <w:noProof/>
              </w:rPr>
              <w:fldChar w:fldCharType="end"/>
            </w:r>
          </w:hyperlink>
        </w:p>
        <w:p w:rsidR="00C51EF0" w:rsidRPr="00C51EF0" w:rsidRDefault="00C51EF0">
          <w:pPr>
            <w:pStyle w:val="TOC2"/>
            <w:tabs>
              <w:tab w:val="right" w:leader="dot" w:pos="9016"/>
            </w:tabs>
            <w:rPr>
              <w:noProof/>
            </w:rPr>
          </w:pPr>
          <w:hyperlink w:anchor="_Toc241908459" w:history="1">
            <w:r w:rsidRPr="00C51EF0">
              <w:rPr>
                <w:rStyle w:val="Hyperlink"/>
                <w:noProof/>
                <w:color w:val="auto"/>
              </w:rPr>
              <w:t>7.7 Explanations of Israel's Settlement</w:t>
            </w:r>
            <w:r w:rsidRPr="00C51EF0">
              <w:rPr>
                <w:noProof/>
              </w:rPr>
              <w:tab/>
            </w:r>
            <w:r w:rsidRPr="00C51EF0">
              <w:rPr>
                <w:noProof/>
              </w:rPr>
              <w:fldChar w:fldCharType="begin"/>
            </w:r>
            <w:r w:rsidRPr="00C51EF0">
              <w:rPr>
                <w:noProof/>
              </w:rPr>
              <w:instrText xml:space="preserve"> PAGEREF _Toc241908459 \h </w:instrText>
            </w:r>
            <w:r w:rsidRPr="00C51EF0">
              <w:rPr>
                <w:noProof/>
              </w:rPr>
            </w:r>
            <w:r w:rsidRPr="00C51EF0">
              <w:rPr>
                <w:noProof/>
              </w:rPr>
              <w:fldChar w:fldCharType="separate"/>
            </w:r>
            <w:r w:rsidRPr="00C51EF0">
              <w:rPr>
                <w:noProof/>
              </w:rPr>
              <w:t>53</w:t>
            </w:r>
            <w:r w:rsidRPr="00C51EF0">
              <w:rPr>
                <w:noProof/>
              </w:rPr>
              <w:fldChar w:fldCharType="end"/>
            </w:r>
          </w:hyperlink>
        </w:p>
        <w:p w:rsidR="00C51EF0" w:rsidRPr="00C51EF0" w:rsidRDefault="00C51EF0">
          <w:pPr>
            <w:pStyle w:val="TOC2"/>
            <w:tabs>
              <w:tab w:val="right" w:leader="dot" w:pos="9016"/>
            </w:tabs>
            <w:rPr>
              <w:noProof/>
            </w:rPr>
          </w:pPr>
          <w:hyperlink w:anchor="_Toc241908460" w:history="1">
            <w:r w:rsidRPr="00C51EF0">
              <w:rPr>
                <w:rStyle w:val="Hyperlink"/>
                <w:noProof/>
                <w:color w:val="auto"/>
              </w:rPr>
              <w:t>7.8 Summary</w:t>
            </w:r>
            <w:r w:rsidRPr="00C51EF0">
              <w:rPr>
                <w:noProof/>
              </w:rPr>
              <w:tab/>
            </w:r>
            <w:r w:rsidRPr="00C51EF0">
              <w:rPr>
                <w:noProof/>
              </w:rPr>
              <w:fldChar w:fldCharType="begin"/>
            </w:r>
            <w:r w:rsidRPr="00C51EF0">
              <w:rPr>
                <w:noProof/>
              </w:rPr>
              <w:instrText xml:space="preserve"> PAGEREF _Toc241908460 \h </w:instrText>
            </w:r>
            <w:r w:rsidRPr="00C51EF0">
              <w:rPr>
                <w:noProof/>
              </w:rPr>
            </w:r>
            <w:r w:rsidRPr="00C51EF0">
              <w:rPr>
                <w:noProof/>
              </w:rPr>
              <w:fldChar w:fldCharType="separate"/>
            </w:r>
            <w:r w:rsidRPr="00C51EF0">
              <w:rPr>
                <w:noProof/>
              </w:rPr>
              <w:t>55</w:t>
            </w:r>
            <w:r w:rsidRPr="00C51EF0">
              <w:rPr>
                <w:noProof/>
              </w:rPr>
              <w:fldChar w:fldCharType="end"/>
            </w:r>
          </w:hyperlink>
        </w:p>
        <w:p w:rsidR="00C51EF0" w:rsidRPr="00C51EF0" w:rsidRDefault="00C51EF0">
          <w:pPr>
            <w:pStyle w:val="TOC2"/>
            <w:tabs>
              <w:tab w:val="right" w:leader="dot" w:pos="9016"/>
            </w:tabs>
            <w:rPr>
              <w:noProof/>
            </w:rPr>
          </w:pPr>
          <w:hyperlink w:anchor="_Toc241908461" w:history="1">
            <w:r w:rsidRPr="00C51EF0">
              <w:rPr>
                <w:rStyle w:val="Hyperlink"/>
                <w:noProof/>
                <w:color w:val="auto"/>
              </w:rPr>
              <w:t>7.9 Life Application</w:t>
            </w:r>
            <w:r w:rsidRPr="00C51EF0">
              <w:rPr>
                <w:noProof/>
              </w:rPr>
              <w:tab/>
            </w:r>
            <w:r w:rsidRPr="00C51EF0">
              <w:rPr>
                <w:noProof/>
              </w:rPr>
              <w:fldChar w:fldCharType="begin"/>
            </w:r>
            <w:r w:rsidRPr="00C51EF0">
              <w:rPr>
                <w:noProof/>
              </w:rPr>
              <w:instrText xml:space="preserve"> PAGEREF _Toc241908461 \h </w:instrText>
            </w:r>
            <w:r w:rsidRPr="00C51EF0">
              <w:rPr>
                <w:noProof/>
              </w:rPr>
            </w:r>
            <w:r w:rsidRPr="00C51EF0">
              <w:rPr>
                <w:noProof/>
              </w:rPr>
              <w:fldChar w:fldCharType="separate"/>
            </w:r>
            <w:r w:rsidRPr="00C51EF0">
              <w:rPr>
                <w:noProof/>
              </w:rPr>
              <w:t>55</w:t>
            </w:r>
            <w:r w:rsidRPr="00C51EF0">
              <w:rPr>
                <w:noProof/>
              </w:rPr>
              <w:fldChar w:fldCharType="end"/>
            </w:r>
          </w:hyperlink>
        </w:p>
        <w:p w:rsidR="00C51EF0" w:rsidRPr="00C51EF0" w:rsidRDefault="00C51EF0">
          <w:pPr>
            <w:pStyle w:val="TOC2"/>
            <w:tabs>
              <w:tab w:val="right" w:leader="dot" w:pos="9016"/>
            </w:tabs>
            <w:rPr>
              <w:noProof/>
            </w:rPr>
          </w:pPr>
          <w:hyperlink w:anchor="_Toc241908462" w:history="1">
            <w:r w:rsidRPr="00C51EF0">
              <w:rPr>
                <w:rStyle w:val="Hyperlink"/>
                <w:noProof/>
                <w:color w:val="auto"/>
              </w:rPr>
              <w:t>7.10 Discussion Questions</w:t>
            </w:r>
            <w:r w:rsidRPr="00C51EF0">
              <w:rPr>
                <w:noProof/>
              </w:rPr>
              <w:tab/>
            </w:r>
            <w:r w:rsidRPr="00C51EF0">
              <w:rPr>
                <w:noProof/>
              </w:rPr>
              <w:fldChar w:fldCharType="begin"/>
            </w:r>
            <w:r w:rsidRPr="00C51EF0">
              <w:rPr>
                <w:noProof/>
              </w:rPr>
              <w:instrText xml:space="preserve"> PAGEREF _Toc241908462 \h </w:instrText>
            </w:r>
            <w:r w:rsidRPr="00C51EF0">
              <w:rPr>
                <w:noProof/>
              </w:rPr>
            </w:r>
            <w:r w:rsidRPr="00C51EF0">
              <w:rPr>
                <w:noProof/>
              </w:rPr>
              <w:fldChar w:fldCharType="separate"/>
            </w:r>
            <w:r w:rsidRPr="00C51EF0">
              <w:rPr>
                <w:noProof/>
              </w:rPr>
              <w:t>56</w:t>
            </w:r>
            <w:r w:rsidRPr="00C51EF0">
              <w:rPr>
                <w:noProof/>
              </w:rPr>
              <w:fldChar w:fldCharType="end"/>
            </w:r>
          </w:hyperlink>
        </w:p>
        <w:p w:rsidR="00C51EF0" w:rsidRPr="00C51EF0" w:rsidRDefault="00C51EF0">
          <w:pPr>
            <w:pStyle w:val="TOC2"/>
            <w:tabs>
              <w:tab w:val="right" w:leader="dot" w:pos="9016"/>
            </w:tabs>
            <w:rPr>
              <w:noProof/>
            </w:rPr>
          </w:pPr>
          <w:hyperlink w:anchor="_Toc241908463" w:history="1">
            <w:r w:rsidRPr="00C51EF0">
              <w:rPr>
                <w:rStyle w:val="Hyperlink"/>
                <w:noProof/>
                <w:color w:val="auto"/>
              </w:rPr>
              <w:t>7.11 Further Reading</w:t>
            </w:r>
            <w:r w:rsidRPr="00C51EF0">
              <w:rPr>
                <w:noProof/>
              </w:rPr>
              <w:tab/>
            </w:r>
            <w:r w:rsidRPr="00C51EF0">
              <w:rPr>
                <w:noProof/>
              </w:rPr>
              <w:fldChar w:fldCharType="begin"/>
            </w:r>
            <w:r w:rsidRPr="00C51EF0">
              <w:rPr>
                <w:noProof/>
              </w:rPr>
              <w:instrText xml:space="preserve"> PAGEREF _Toc241908463 \h </w:instrText>
            </w:r>
            <w:r w:rsidRPr="00C51EF0">
              <w:rPr>
                <w:noProof/>
              </w:rPr>
            </w:r>
            <w:r w:rsidRPr="00C51EF0">
              <w:rPr>
                <w:noProof/>
              </w:rPr>
              <w:fldChar w:fldCharType="separate"/>
            </w:r>
            <w:r w:rsidRPr="00C51EF0">
              <w:rPr>
                <w:noProof/>
              </w:rPr>
              <w:t>56</w:t>
            </w:r>
            <w:r w:rsidRPr="00C51EF0">
              <w:rPr>
                <w:noProof/>
              </w:rPr>
              <w:fldChar w:fldCharType="end"/>
            </w:r>
          </w:hyperlink>
        </w:p>
        <w:p w:rsidR="00C51EF0" w:rsidRPr="00C51EF0" w:rsidRDefault="00C51EF0">
          <w:pPr>
            <w:pStyle w:val="TOC1"/>
            <w:tabs>
              <w:tab w:val="right" w:leader="dot" w:pos="9016"/>
            </w:tabs>
            <w:rPr>
              <w:noProof/>
            </w:rPr>
          </w:pPr>
          <w:hyperlink w:anchor="_Toc241908464" w:history="1">
            <w:r w:rsidRPr="00C51EF0">
              <w:rPr>
                <w:rStyle w:val="Hyperlink"/>
                <w:noProof/>
                <w:color w:val="auto"/>
              </w:rPr>
              <w:t>UNIT EIGHT: THE UNITED MONARCHY: DAVID AND SOLOMON</w:t>
            </w:r>
            <w:r w:rsidRPr="00C51EF0">
              <w:rPr>
                <w:noProof/>
              </w:rPr>
              <w:tab/>
            </w:r>
            <w:r w:rsidRPr="00C51EF0">
              <w:rPr>
                <w:noProof/>
              </w:rPr>
              <w:fldChar w:fldCharType="begin"/>
            </w:r>
            <w:r w:rsidRPr="00C51EF0">
              <w:rPr>
                <w:noProof/>
              </w:rPr>
              <w:instrText xml:space="preserve"> PAGEREF _Toc241908464 \h </w:instrText>
            </w:r>
            <w:r w:rsidRPr="00C51EF0">
              <w:rPr>
                <w:noProof/>
              </w:rPr>
            </w:r>
            <w:r w:rsidRPr="00C51EF0">
              <w:rPr>
                <w:noProof/>
              </w:rPr>
              <w:fldChar w:fldCharType="separate"/>
            </w:r>
            <w:r w:rsidRPr="00C51EF0">
              <w:rPr>
                <w:noProof/>
              </w:rPr>
              <w:t>57</w:t>
            </w:r>
            <w:r w:rsidRPr="00C51EF0">
              <w:rPr>
                <w:noProof/>
              </w:rPr>
              <w:fldChar w:fldCharType="end"/>
            </w:r>
          </w:hyperlink>
        </w:p>
        <w:p w:rsidR="00C51EF0" w:rsidRPr="00C51EF0" w:rsidRDefault="00C51EF0">
          <w:pPr>
            <w:pStyle w:val="TOC2"/>
            <w:tabs>
              <w:tab w:val="right" w:leader="dot" w:pos="9016"/>
            </w:tabs>
            <w:rPr>
              <w:noProof/>
            </w:rPr>
          </w:pPr>
          <w:hyperlink w:anchor="_Toc241908465" w:history="1">
            <w:r w:rsidRPr="00C51EF0">
              <w:rPr>
                <w:rStyle w:val="Hyperlink"/>
                <w:noProof/>
                <w:color w:val="auto"/>
              </w:rPr>
              <w:t>8.1 Introduction</w:t>
            </w:r>
            <w:r w:rsidRPr="00C51EF0">
              <w:rPr>
                <w:noProof/>
              </w:rPr>
              <w:tab/>
            </w:r>
            <w:r w:rsidRPr="00C51EF0">
              <w:rPr>
                <w:noProof/>
              </w:rPr>
              <w:fldChar w:fldCharType="begin"/>
            </w:r>
            <w:r w:rsidRPr="00C51EF0">
              <w:rPr>
                <w:noProof/>
              </w:rPr>
              <w:instrText xml:space="preserve"> PAGEREF _Toc241908465 \h </w:instrText>
            </w:r>
            <w:r w:rsidRPr="00C51EF0">
              <w:rPr>
                <w:noProof/>
              </w:rPr>
            </w:r>
            <w:r w:rsidRPr="00C51EF0">
              <w:rPr>
                <w:noProof/>
              </w:rPr>
              <w:fldChar w:fldCharType="separate"/>
            </w:r>
            <w:r w:rsidRPr="00C51EF0">
              <w:rPr>
                <w:noProof/>
              </w:rPr>
              <w:t>57</w:t>
            </w:r>
            <w:r w:rsidRPr="00C51EF0">
              <w:rPr>
                <w:noProof/>
              </w:rPr>
              <w:fldChar w:fldCharType="end"/>
            </w:r>
          </w:hyperlink>
        </w:p>
        <w:p w:rsidR="00C51EF0" w:rsidRPr="00C51EF0" w:rsidRDefault="00C51EF0">
          <w:pPr>
            <w:pStyle w:val="TOC2"/>
            <w:tabs>
              <w:tab w:val="right" w:leader="dot" w:pos="9016"/>
            </w:tabs>
            <w:rPr>
              <w:noProof/>
            </w:rPr>
          </w:pPr>
          <w:hyperlink w:anchor="_Toc241908466" w:history="1">
            <w:r w:rsidRPr="00C51EF0">
              <w:rPr>
                <w:rStyle w:val="Hyperlink"/>
                <w:noProof/>
                <w:color w:val="auto"/>
              </w:rPr>
              <w:t>8.2 Learning Objectives</w:t>
            </w:r>
            <w:r w:rsidRPr="00C51EF0">
              <w:rPr>
                <w:noProof/>
              </w:rPr>
              <w:tab/>
            </w:r>
            <w:r w:rsidRPr="00C51EF0">
              <w:rPr>
                <w:noProof/>
              </w:rPr>
              <w:fldChar w:fldCharType="begin"/>
            </w:r>
            <w:r w:rsidRPr="00C51EF0">
              <w:rPr>
                <w:noProof/>
              </w:rPr>
              <w:instrText xml:space="preserve"> PAGEREF _Toc241908466 \h </w:instrText>
            </w:r>
            <w:r w:rsidRPr="00C51EF0">
              <w:rPr>
                <w:noProof/>
              </w:rPr>
            </w:r>
            <w:r w:rsidRPr="00C51EF0">
              <w:rPr>
                <w:noProof/>
              </w:rPr>
              <w:fldChar w:fldCharType="separate"/>
            </w:r>
            <w:r w:rsidRPr="00C51EF0">
              <w:rPr>
                <w:noProof/>
              </w:rPr>
              <w:t>57</w:t>
            </w:r>
            <w:r w:rsidRPr="00C51EF0">
              <w:rPr>
                <w:noProof/>
              </w:rPr>
              <w:fldChar w:fldCharType="end"/>
            </w:r>
          </w:hyperlink>
        </w:p>
        <w:p w:rsidR="00C51EF0" w:rsidRPr="00C51EF0" w:rsidRDefault="00C51EF0">
          <w:pPr>
            <w:pStyle w:val="TOC2"/>
            <w:tabs>
              <w:tab w:val="right" w:leader="dot" w:pos="9016"/>
            </w:tabs>
            <w:rPr>
              <w:noProof/>
            </w:rPr>
          </w:pPr>
          <w:hyperlink w:anchor="_Toc241908467" w:history="1">
            <w:r w:rsidRPr="00C51EF0">
              <w:rPr>
                <w:rStyle w:val="Hyperlink"/>
                <w:noProof/>
                <w:color w:val="auto"/>
              </w:rPr>
              <w:t>8.3 The Biblical Picture</w:t>
            </w:r>
            <w:r w:rsidRPr="00C51EF0">
              <w:rPr>
                <w:noProof/>
              </w:rPr>
              <w:tab/>
            </w:r>
            <w:r w:rsidRPr="00C51EF0">
              <w:rPr>
                <w:noProof/>
              </w:rPr>
              <w:fldChar w:fldCharType="begin"/>
            </w:r>
            <w:r w:rsidRPr="00C51EF0">
              <w:rPr>
                <w:noProof/>
              </w:rPr>
              <w:instrText xml:space="preserve"> PAGEREF _Toc241908467 \h </w:instrText>
            </w:r>
            <w:r w:rsidRPr="00C51EF0">
              <w:rPr>
                <w:noProof/>
              </w:rPr>
            </w:r>
            <w:r w:rsidRPr="00C51EF0">
              <w:rPr>
                <w:noProof/>
              </w:rPr>
              <w:fldChar w:fldCharType="separate"/>
            </w:r>
            <w:r w:rsidRPr="00C51EF0">
              <w:rPr>
                <w:noProof/>
              </w:rPr>
              <w:t>57</w:t>
            </w:r>
            <w:r w:rsidRPr="00C51EF0">
              <w:rPr>
                <w:noProof/>
              </w:rPr>
              <w:fldChar w:fldCharType="end"/>
            </w:r>
          </w:hyperlink>
        </w:p>
        <w:p w:rsidR="00C51EF0" w:rsidRPr="00C51EF0" w:rsidRDefault="00C51EF0">
          <w:pPr>
            <w:pStyle w:val="TOC2"/>
            <w:tabs>
              <w:tab w:val="right" w:leader="dot" w:pos="9016"/>
            </w:tabs>
            <w:rPr>
              <w:noProof/>
            </w:rPr>
          </w:pPr>
          <w:hyperlink w:anchor="_Toc241908468" w:history="1">
            <w:r w:rsidRPr="00C51EF0">
              <w:rPr>
                <w:rStyle w:val="Hyperlink"/>
                <w:noProof/>
                <w:color w:val="auto"/>
              </w:rPr>
              <w:t>8.4 Inscriptions That Mention the House of David</w:t>
            </w:r>
            <w:r w:rsidRPr="00C51EF0">
              <w:rPr>
                <w:noProof/>
              </w:rPr>
              <w:tab/>
            </w:r>
            <w:r w:rsidRPr="00C51EF0">
              <w:rPr>
                <w:noProof/>
              </w:rPr>
              <w:fldChar w:fldCharType="begin"/>
            </w:r>
            <w:r w:rsidRPr="00C51EF0">
              <w:rPr>
                <w:noProof/>
              </w:rPr>
              <w:instrText xml:space="preserve"> PAGEREF _Toc241908468 \h </w:instrText>
            </w:r>
            <w:r w:rsidRPr="00C51EF0">
              <w:rPr>
                <w:noProof/>
              </w:rPr>
            </w:r>
            <w:r w:rsidRPr="00C51EF0">
              <w:rPr>
                <w:noProof/>
              </w:rPr>
              <w:fldChar w:fldCharType="separate"/>
            </w:r>
            <w:r w:rsidRPr="00C51EF0">
              <w:rPr>
                <w:noProof/>
              </w:rPr>
              <w:t>58</w:t>
            </w:r>
            <w:r w:rsidRPr="00C51EF0">
              <w:rPr>
                <w:noProof/>
              </w:rPr>
              <w:fldChar w:fldCharType="end"/>
            </w:r>
          </w:hyperlink>
        </w:p>
        <w:p w:rsidR="00C51EF0" w:rsidRPr="00C51EF0" w:rsidRDefault="00C51EF0">
          <w:pPr>
            <w:pStyle w:val="TOC2"/>
            <w:tabs>
              <w:tab w:val="right" w:leader="dot" w:pos="9016"/>
            </w:tabs>
            <w:rPr>
              <w:noProof/>
            </w:rPr>
          </w:pPr>
          <w:hyperlink w:anchor="_Toc241908469" w:history="1">
            <w:r w:rsidRPr="00C51EF0">
              <w:rPr>
                <w:rStyle w:val="Hyperlink"/>
                <w:noProof/>
                <w:color w:val="auto"/>
              </w:rPr>
              <w:t>8.5 The Debate about Dates</w:t>
            </w:r>
            <w:r w:rsidRPr="00C51EF0">
              <w:rPr>
                <w:noProof/>
              </w:rPr>
              <w:tab/>
            </w:r>
            <w:r w:rsidRPr="00C51EF0">
              <w:rPr>
                <w:noProof/>
              </w:rPr>
              <w:fldChar w:fldCharType="begin"/>
            </w:r>
            <w:r w:rsidRPr="00C51EF0">
              <w:rPr>
                <w:noProof/>
              </w:rPr>
              <w:instrText xml:space="preserve"> PAGEREF _Toc241908469 \h </w:instrText>
            </w:r>
            <w:r w:rsidRPr="00C51EF0">
              <w:rPr>
                <w:noProof/>
              </w:rPr>
            </w:r>
            <w:r w:rsidRPr="00C51EF0">
              <w:rPr>
                <w:noProof/>
              </w:rPr>
              <w:fldChar w:fldCharType="separate"/>
            </w:r>
            <w:r w:rsidRPr="00C51EF0">
              <w:rPr>
                <w:noProof/>
              </w:rPr>
              <w:t>59</w:t>
            </w:r>
            <w:r w:rsidRPr="00C51EF0">
              <w:rPr>
                <w:noProof/>
              </w:rPr>
              <w:fldChar w:fldCharType="end"/>
            </w:r>
          </w:hyperlink>
        </w:p>
        <w:p w:rsidR="00C51EF0" w:rsidRPr="00C51EF0" w:rsidRDefault="00C51EF0">
          <w:pPr>
            <w:pStyle w:val="TOC2"/>
            <w:tabs>
              <w:tab w:val="right" w:leader="dot" w:pos="9016"/>
            </w:tabs>
            <w:rPr>
              <w:noProof/>
            </w:rPr>
          </w:pPr>
          <w:hyperlink w:anchor="_Toc241908470" w:history="1">
            <w:r w:rsidRPr="00C51EF0">
              <w:rPr>
                <w:rStyle w:val="Hyperlink"/>
                <w:noProof/>
                <w:color w:val="auto"/>
              </w:rPr>
              <w:t>8.6 Jerusalem in the Tenth Century</w:t>
            </w:r>
            <w:r w:rsidRPr="00C51EF0">
              <w:rPr>
                <w:noProof/>
              </w:rPr>
              <w:tab/>
            </w:r>
            <w:r w:rsidRPr="00C51EF0">
              <w:rPr>
                <w:noProof/>
              </w:rPr>
              <w:fldChar w:fldCharType="begin"/>
            </w:r>
            <w:r w:rsidRPr="00C51EF0">
              <w:rPr>
                <w:noProof/>
              </w:rPr>
              <w:instrText xml:space="preserve"> PAGEREF _Toc241908470 \h </w:instrText>
            </w:r>
            <w:r w:rsidRPr="00C51EF0">
              <w:rPr>
                <w:noProof/>
              </w:rPr>
            </w:r>
            <w:r w:rsidRPr="00C51EF0">
              <w:rPr>
                <w:noProof/>
              </w:rPr>
              <w:fldChar w:fldCharType="separate"/>
            </w:r>
            <w:r w:rsidRPr="00C51EF0">
              <w:rPr>
                <w:noProof/>
              </w:rPr>
              <w:t>60</w:t>
            </w:r>
            <w:r w:rsidRPr="00C51EF0">
              <w:rPr>
                <w:noProof/>
              </w:rPr>
              <w:fldChar w:fldCharType="end"/>
            </w:r>
          </w:hyperlink>
        </w:p>
        <w:p w:rsidR="00C51EF0" w:rsidRPr="00C51EF0" w:rsidRDefault="00C51EF0">
          <w:pPr>
            <w:pStyle w:val="TOC2"/>
            <w:tabs>
              <w:tab w:val="right" w:leader="dot" w:pos="9016"/>
            </w:tabs>
            <w:rPr>
              <w:noProof/>
            </w:rPr>
          </w:pPr>
          <w:hyperlink w:anchor="_Toc241908471" w:history="1">
            <w:r w:rsidRPr="00C51EF0">
              <w:rPr>
                <w:rStyle w:val="Hyperlink"/>
                <w:noProof/>
                <w:color w:val="auto"/>
              </w:rPr>
              <w:t>8.7 Khirbet Qeiyafa</w:t>
            </w:r>
            <w:r w:rsidRPr="00C51EF0">
              <w:rPr>
                <w:noProof/>
              </w:rPr>
              <w:tab/>
            </w:r>
            <w:r w:rsidRPr="00C51EF0">
              <w:rPr>
                <w:noProof/>
              </w:rPr>
              <w:fldChar w:fldCharType="begin"/>
            </w:r>
            <w:r w:rsidRPr="00C51EF0">
              <w:rPr>
                <w:noProof/>
              </w:rPr>
              <w:instrText xml:space="preserve"> PAGEREF _Toc241908471 \h </w:instrText>
            </w:r>
            <w:r w:rsidRPr="00C51EF0">
              <w:rPr>
                <w:noProof/>
              </w:rPr>
            </w:r>
            <w:r w:rsidRPr="00C51EF0">
              <w:rPr>
                <w:noProof/>
              </w:rPr>
              <w:fldChar w:fldCharType="separate"/>
            </w:r>
            <w:r w:rsidRPr="00C51EF0">
              <w:rPr>
                <w:noProof/>
              </w:rPr>
              <w:t>60</w:t>
            </w:r>
            <w:r w:rsidRPr="00C51EF0">
              <w:rPr>
                <w:noProof/>
              </w:rPr>
              <w:fldChar w:fldCharType="end"/>
            </w:r>
          </w:hyperlink>
        </w:p>
        <w:p w:rsidR="00C51EF0" w:rsidRPr="00C51EF0" w:rsidRDefault="00C51EF0">
          <w:pPr>
            <w:pStyle w:val="TOC2"/>
            <w:tabs>
              <w:tab w:val="right" w:leader="dot" w:pos="9016"/>
            </w:tabs>
            <w:rPr>
              <w:noProof/>
            </w:rPr>
          </w:pPr>
          <w:hyperlink w:anchor="_Toc241908472" w:history="1">
            <w:r w:rsidRPr="00C51EF0">
              <w:rPr>
                <w:rStyle w:val="Hyperlink"/>
                <w:noProof/>
                <w:color w:val="auto"/>
              </w:rPr>
              <w:t>8.8 Copper, Edom and Political Power</w:t>
            </w:r>
            <w:r w:rsidRPr="00C51EF0">
              <w:rPr>
                <w:noProof/>
              </w:rPr>
              <w:tab/>
            </w:r>
            <w:r w:rsidRPr="00C51EF0">
              <w:rPr>
                <w:noProof/>
              </w:rPr>
              <w:fldChar w:fldCharType="begin"/>
            </w:r>
            <w:r w:rsidRPr="00C51EF0">
              <w:rPr>
                <w:noProof/>
              </w:rPr>
              <w:instrText xml:space="preserve"> PAGEREF _Toc241908472 \h </w:instrText>
            </w:r>
            <w:r w:rsidRPr="00C51EF0">
              <w:rPr>
                <w:noProof/>
              </w:rPr>
            </w:r>
            <w:r w:rsidRPr="00C51EF0">
              <w:rPr>
                <w:noProof/>
              </w:rPr>
              <w:fldChar w:fldCharType="separate"/>
            </w:r>
            <w:r w:rsidRPr="00C51EF0">
              <w:rPr>
                <w:noProof/>
              </w:rPr>
              <w:t>61</w:t>
            </w:r>
            <w:r w:rsidRPr="00C51EF0">
              <w:rPr>
                <w:noProof/>
              </w:rPr>
              <w:fldChar w:fldCharType="end"/>
            </w:r>
          </w:hyperlink>
        </w:p>
        <w:p w:rsidR="00C51EF0" w:rsidRPr="00C51EF0" w:rsidRDefault="00C51EF0">
          <w:pPr>
            <w:pStyle w:val="TOC2"/>
            <w:tabs>
              <w:tab w:val="right" w:leader="dot" w:pos="9016"/>
            </w:tabs>
            <w:rPr>
              <w:noProof/>
            </w:rPr>
          </w:pPr>
          <w:hyperlink w:anchor="_Toc241908473" w:history="1">
            <w:r w:rsidRPr="00C51EF0">
              <w:rPr>
                <w:rStyle w:val="Hyperlink"/>
                <w:noProof/>
                <w:color w:val="auto"/>
              </w:rPr>
              <w:t>8.9 Solomon's Temple</w:t>
            </w:r>
            <w:r w:rsidRPr="00C51EF0">
              <w:rPr>
                <w:noProof/>
              </w:rPr>
              <w:tab/>
            </w:r>
            <w:r w:rsidRPr="00C51EF0">
              <w:rPr>
                <w:noProof/>
              </w:rPr>
              <w:fldChar w:fldCharType="begin"/>
            </w:r>
            <w:r w:rsidRPr="00C51EF0">
              <w:rPr>
                <w:noProof/>
              </w:rPr>
              <w:instrText xml:space="preserve"> PAGEREF _Toc241908473 \h </w:instrText>
            </w:r>
            <w:r w:rsidRPr="00C51EF0">
              <w:rPr>
                <w:noProof/>
              </w:rPr>
            </w:r>
            <w:r w:rsidRPr="00C51EF0">
              <w:rPr>
                <w:noProof/>
              </w:rPr>
              <w:fldChar w:fldCharType="separate"/>
            </w:r>
            <w:r w:rsidRPr="00C51EF0">
              <w:rPr>
                <w:noProof/>
              </w:rPr>
              <w:t>62</w:t>
            </w:r>
            <w:r w:rsidRPr="00C51EF0">
              <w:rPr>
                <w:noProof/>
              </w:rPr>
              <w:fldChar w:fldCharType="end"/>
            </w:r>
          </w:hyperlink>
        </w:p>
        <w:p w:rsidR="00C51EF0" w:rsidRPr="00C51EF0" w:rsidRDefault="00C51EF0">
          <w:pPr>
            <w:pStyle w:val="TOC2"/>
            <w:tabs>
              <w:tab w:val="right" w:leader="dot" w:pos="9016"/>
            </w:tabs>
            <w:rPr>
              <w:noProof/>
            </w:rPr>
          </w:pPr>
          <w:hyperlink w:anchor="_Toc241908474" w:history="1">
            <w:r w:rsidRPr="00C51EF0">
              <w:rPr>
                <w:rStyle w:val="Hyperlink"/>
                <w:noProof/>
                <w:color w:val="auto"/>
              </w:rPr>
              <w:t>8.10 Assessment</w:t>
            </w:r>
            <w:r w:rsidRPr="00C51EF0">
              <w:rPr>
                <w:noProof/>
              </w:rPr>
              <w:tab/>
            </w:r>
            <w:r w:rsidRPr="00C51EF0">
              <w:rPr>
                <w:noProof/>
              </w:rPr>
              <w:fldChar w:fldCharType="begin"/>
            </w:r>
            <w:r w:rsidRPr="00C51EF0">
              <w:rPr>
                <w:noProof/>
              </w:rPr>
              <w:instrText xml:space="preserve"> PAGEREF _Toc241908474 \h </w:instrText>
            </w:r>
            <w:r w:rsidRPr="00C51EF0">
              <w:rPr>
                <w:noProof/>
              </w:rPr>
            </w:r>
            <w:r w:rsidRPr="00C51EF0">
              <w:rPr>
                <w:noProof/>
              </w:rPr>
              <w:fldChar w:fldCharType="separate"/>
            </w:r>
            <w:r w:rsidRPr="00C51EF0">
              <w:rPr>
                <w:noProof/>
              </w:rPr>
              <w:t>62</w:t>
            </w:r>
            <w:r w:rsidRPr="00C51EF0">
              <w:rPr>
                <w:noProof/>
              </w:rPr>
              <w:fldChar w:fldCharType="end"/>
            </w:r>
          </w:hyperlink>
        </w:p>
        <w:p w:rsidR="00C51EF0" w:rsidRPr="00C51EF0" w:rsidRDefault="00C51EF0">
          <w:pPr>
            <w:pStyle w:val="TOC2"/>
            <w:tabs>
              <w:tab w:val="right" w:leader="dot" w:pos="9016"/>
            </w:tabs>
            <w:rPr>
              <w:noProof/>
            </w:rPr>
          </w:pPr>
          <w:hyperlink w:anchor="_Toc241908475" w:history="1">
            <w:r w:rsidRPr="00C51EF0">
              <w:rPr>
                <w:rStyle w:val="Hyperlink"/>
                <w:noProof/>
                <w:color w:val="auto"/>
              </w:rPr>
              <w:t>8.11 Summary</w:t>
            </w:r>
            <w:r w:rsidRPr="00C51EF0">
              <w:rPr>
                <w:noProof/>
              </w:rPr>
              <w:tab/>
            </w:r>
            <w:r w:rsidRPr="00C51EF0">
              <w:rPr>
                <w:noProof/>
              </w:rPr>
              <w:fldChar w:fldCharType="begin"/>
            </w:r>
            <w:r w:rsidRPr="00C51EF0">
              <w:rPr>
                <w:noProof/>
              </w:rPr>
              <w:instrText xml:space="preserve"> PAGEREF _Toc241908475 \h </w:instrText>
            </w:r>
            <w:r w:rsidRPr="00C51EF0">
              <w:rPr>
                <w:noProof/>
              </w:rPr>
            </w:r>
            <w:r w:rsidRPr="00C51EF0">
              <w:rPr>
                <w:noProof/>
              </w:rPr>
              <w:fldChar w:fldCharType="separate"/>
            </w:r>
            <w:r w:rsidRPr="00C51EF0">
              <w:rPr>
                <w:noProof/>
              </w:rPr>
              <w:t>63</w:t>
            </w:r>
            <w:r w:rsidRPr="00C51EF0">
              <w:rPr>
                <w:noProof/>
              </w:rPr>
              <w:fldChar w:fldCharType="end"/>
            </w:r>
          </w:hyperlink>
        </w:p>
        <w:p w:rsidR="00C51EF0" w:rsidRPr="00C51EF0" w:rsidRDefault="00C51EF0">
          <w:pPr>
            <w:pStyle w:val="TOC2"/>
            <w:tabs>
              <w:tab w:val="right" w:leader="dot" w:pos="9016"/>
            </w:tabs>
            <w:rPr>
              <w:noProof/>
            </w:rPr>
          </w:pPr>
          <w:hyperlink w:anchor="_Toc241908476" w:history="1">
            <w:r w:rsidRPr="00C51EF0">
              <w:rPr>
                <w:rStyle w:val="Hyperlink"/>
                <w:noProof/>
                <w:color w:val="auto"/>
              </w:rPr>
              <w:t>8.12 Life Application</w:t>
            </w:r>
            <w:r w:rsidRPr="00C51EF0">
              <w:rPr>
                <w:noProof/>
              </w:rPr>
              <w:tab/>
            </w:r>
            <w:r w:rsidRPr="00C51EF0">
              <w:rPr>
                <w:noProof/>
              </w:rPr>
              <w:fldChar w:fldCharType="begin"/>
            </w:r>
            <w:r w:rsidRPr="00C51EF0">
              <w:rPr>
                <w:noProof/>
              </w:rPr>
              <w:instrText xml:space="preserve"> PAGEREF _Toc241908476 \h </w:instrText>
            </w:r>
            <w:r w:rsidRPr="00C51EF0">
              <w:rPr>
                <w:noProof/>
              </w:rPr>
            </w:r>
            <w:r w:rsidRPr="00C51EF0">
              <w:rPr>
                <w:noProof/>
              </w:rPr>
              <w:fldChar w:fldCharType="separate"/>
            </w:r>
            <w:r w:rsidRPr="00C51EF0">
              <w:rPr>
                <w:noProof/>
              </w:rPr>
              <w:t>63</w:t>
            </w:r>
            <w:r w:rsidRPr="00C51EF0">
              <w:rPr>
                <w:noProof/>
              </w:rPr>
              <w:fldChar w:fldCharType="end"/>
            </w:r>
          </w:hyperlink>
        </w:p>
        <w:p w:rsidR="00C51EF0" w:rsidRPr="00C51EF0" w:rsidRDefault="00C51EF0">
          <w:pPr>
            <w:pStyle w:val="TOC2"/>
            <w:tabs>
              <w:tab w:val="right" w:leader="dot" w:pos="9016"/>
            </w:tabs>
            <w:rPr>
              <w:noProof/>
            </w:rPr>
          </w:pPr>
          <w:hyperlink w:anchor="_Toc241908477" w:history="1">
            <w:r w:rsidRPr="00C51EF0">
              <w:rPr>
                <w:rStyle w:val="Hyperlink"/>
                <w:noProof/>
                <w:color w:val="auto"/>
              </w:rPr>
              <w:t>8.13 Discussion Questions</w:t>
            </w:r>
            <w:r w:rsidRPr="00C51EF0">
              <w:rPr>
                <w:noProof/>
              </w:rPr>
              <w:tab/>
            </w:r>
            <w:r w:rsidRPr="00C51EF0">
              <w:rPr>
                <w:noProof/>
              </w:rPr>
              <w:fldChar w:fldCharType="begin"/>
            </w:r>
            <w:r w:rsidRPr="00C51EF0">
              <w:rPr>
                <w:noProof/>
              </w:rPr>
              <w:instrText xml:space="preserve"> PAGEREF _Toc241908477 \h </w:instrText>
            </w:r>
            <w:r w:rsidRPr="00C51EF0">
              <w:rPr>
                <w:noProof/>
              </w:rPr>
            </w:r>
            <w:r w:rsidRPr="00C51EF0">
              <w:rPr>
                <w:noProof/>
              </w:rPr>
              <w:fldChar w:fldCharType="separate"/>
            </w:r>
            <w:r w:rsidRPr="00C51EF0">
              <w:rPr>
                <w:noProof/>
              </w:rPr>
              <w:t>64</w:t>
            </w:r>
            <w:r w:rsidRPr="00C51EF0">
              <w:rPr>
                <w:noProof/>
              </w:rPr>
              <w:fldChar w:fldCharType="end"/>
            </w:r>
          </w:hyperlink>
        </w:p>
        <w:p w:rsidR="00C51EF0" w:rsidRPr="00C51EF0" w:rsidRDefault="00C51EF0">
          <w:pPr>
            <w:pStyle w:val="TOC2"/>
            <w:tabs>
              <w:tab w:val="right" w:leader="dot" w:pos="9016"/>
            </w:tabs>
            <w:rPr>
              <w:noProof/>
            </w:rPr>
          </w:pPr>
          <w:hyperlink w:anchor="_Toc241908478" w:history="1">
            <w:r w:rsidRPr="00C51EF0">
              <w:rPr>
                <w:rStyle w:val="Hyperlink"/>
                <w:noProof/>
                <w:color w:val="auto"/>
              </w:rPr>
              <w:t>8.14 Further Reading</w:t>
            </w:r>
            <w:r w:rsidRPr="00C51EF0">
              <w:rPr>
                <w:noProof/>
              </w:rPr>
              <w:tab/>
            </w:r>
            <w:r w:rsidRPr="00C51EF0">
              <w:rPr>
                <w:noProof/>
              </w:rPr>
              <w:fldChar w:fldCharType="begin"/>
            </w:r>
            <w:r w:rsidRPr="00C51EF0">
              <w:rPr>
                <w:noProof/>
              </w:rPr>
              <w:instrText xml:space="preserve"> PAGEREF _Toc241908478 \h </w:instrText>
            </w:r>
            <w:r w:rsidRPr="00C51EF0">
              <w:rPr>
                <w:noProof/>
              </w:rPr>
            </w:r>
            <w:r w:rsidRPr="00C51EF0">
              <w:rPr>
                <w:noProof/>
              </w:rPr>
              <w:fldChar w:fldCharType="separate"/>
            </w:r>
            <w:r w:rsidRPr="00C51EF0">
              <w:rPr>
                <w:noProof/>
              </w:rPr>
              <w:t>64</w:t>
            </w:r>
            <w:r w:rsidRPr="00C51EF0">
              <w:rPr>
                <w:noProof/>
              </w:rPr>
              <w:fldChar w:fldCharType="end"/>
            </w:r>
          </w:hyperlink>
        </w:p>
        <w:p w:rsidR="00C51EF0" w:rsidRPr="00C51EF0" w:rsidRDefault="00C51EF0">
          <w:pPr>
            <w:pStyle w:val="TOC1"/>
            <w:tabs>
              <w:tab w:val="right" w:leader="dot" w:pos="9016"/>
            </w:tabs>
            <w:rPr>
              <w:noProof/>
            </w:rPr>
          </w:pPr>
          <w:hyperlink w:anchor="_Toc241908479" w:history="1">
            <w:r w:rsidRPr="00C51EF0">
              <w:rPr>
                <w:rStyle w:val="Hyperlink"/>
                <w:noProof/>
                <w:color w:val="auto"/>
              </w:rPr>
              <w:t>UNIT NINE: THE DIVIDED KINGDOM, THE EXILE AND THE RETURN</w:t>
            </w:r>
            <w:r w:rsidRPr="00C51EF0">
              <w:rPr>
                <w:noProof/>
              </w:rPr>
              <w:tab/>
            </w:r>
            <w:r w:rsidRPr="00C51EF0">
              <w:rPr>
                <w:noProof/>
              </w:rPr>
              <w:fldChar w:fldCharType="begin"/>
            </w:r>
            <w:r w:rsidRPr="00C51EF0">
              <w:rPr>
                <w:noProof/>
              </w:rPr>
              <w:instrText xml:space="preserve"> PAGEREF _Toc241908479 \h </w:instrText>
            </w:r>
            <w:r w:rsidRPr="00C51EF0">
              <w:rPr>
                <w:noProof/>
              </w:rPr>
            </w:r>
            <w:r w:rsidRPr="00C51EF0">
              <w:rPr>
                <w:noProof/>
              </w:rPr>
              <w:fldChar w:fldCharType="separate"/>
            </w:r>
            <w:r w:rsidRPr="00C51EF0">
              <w:rPr>
                <w:noProof/>
              </w:rPr>
              <w:t>65</w:t>
            </w:r>
            <w:r w:rsidRPr="00C51EF0">
              <w:rPr>
                <w:noProof/>
              </w:rPr>
              <w:fldChar w:fldCharType="end"/>
            </w:r>
          </w:hyperlink>
        </w:p>
        <w:p w:rsidR="00C51EF0" w:rsidRPr="00C51EF0" w:rsidRDefault="00C51EF0">
          <w:pPr>
            <w:pStyle w:val="TOC2"/>
            <w:tabs>
              <w:tab w:val="right" w:leader="dot" w:pos="9016"/>
            </w:tabs>
            <w:rPr>
              <w:noProof/>
            </w:rPr>
          </w:pPr>
          <w:hyperlink w:anchor="_Toc241908480" w:history="1">
            <w:r w:rsidRPr="00C51EF0">
              <w:rPr>
                <w:rStyle w:val="Hyperlink"/>
                <w:noProof/>
                <w:color w:val="auto"/>
              </w:rPr>
              <w:t>9.1 Introduction</w:t>
            </w:r>
            <w:r w:rsidRPr="00C51EF0">
              <w:rPr>
                <w:noProof/>
              </w:rPr>
              <w:tab/>
            </w:r>
            <w:r w:rsidRPr="00C51EF0">
              <w:rPr>
                <w:noProof/>
              </w:rPr>
              <w:fldChar w:fldCharType="begin"/>
            </w:r>
            <w:r w:rsidRPr="00C51EF0">
              <w:rPr>
                <w:noProof/>
              </w:rPr>
              <w:instrText xml:space="preserve"> PAGEREF _Toc241908480 \h </w:instrText>
            </w:r>
            <w:r w:rsidRPr="00C51EF0">
              <w:rPr>
                <w:noProof/>
              </w:rPr>
            </w:r>
            <w:r w:rsidRPr="00C51EF0">
              <w:rPr>
                <w:noProof/>
              </w:rPr>
              <w:fldChar w:fldCharType="separate"/>
            </w:r>
            <w:r w:rsidRPr="00C51EF0">
              <w:rPr>
                <w:noProof/>
              </w:rPr>
              <w:t>65</w:t>
            </w:r>
            <w:r w:rsidRPr="00C51EF0">
              <w:rPr>
                <w:noProof/>
              </w:rPr>
              <w:fldChar w:fldCharType="end"/>
            </w:r>
          </w:hyperlink>
        </w:p>
        <w:p w:rsidR="00C51EF0" w:rsidRPr="00C51EF0" w:rsidRDefault="00C51EF0">
          <w:pPr>
            <w:pStyle w:val="TOC2"/>
            <w:tabs>
              <w:tab w:val="right" w:leader="dot" w:pos="9016"/>
            </w:tabs>
            <w:rPr>
              <w:noProof/>
            </w:rPr>
          </w:pPr>
          <w:hyperlink w:anchor="_Toc241908481" w:history="1">
            <w:r w:rsidRPr="00C51EF0">
              <w:rPr>
                <w:rStyle w:val="Hyperlink"/>
                <w:noProof/>
                <w:color w:val="auto"/>
              </w:rPr>
              <w:t>9.2 Learning Objectives</w:t>
            </w:r>
            <w:r w:rsidRPr="00C51EF0">
              <w:rPr>
                <w:noProof/>
              </w:rPr>
              <w:tab/>
            </w:r>
            <w:r w:rsidRPr="00C51EF0">
              <w:rPr>
                <w:noProof/>
              </w:rPr>
              <w:fldChar w:fldCharType="begin"/>
            </w:r>
            <w:r w:rsidRPr="00C51EF0">
              <w:rPr>
                <w:noProof/>
              </w:rPr>
              <w:instrText xml:space="preserve"> PAGEREF _Toc241908481 \h </w:instrText>
            </w:r>
            <w:r w:rsidRPr="00C51EF0">
              <w:rPr>
                <w:noProof/>
              </w:rPr>
            </w:r>
            <w:r w:rsidRPr="00C51EF0">
              <w:rPr>
                <w:noProof/>
              </w:rPr>
              <w:fldChar w:fldCharType="separate"/>
            </w:r>
            <w:r w:rsidRPr="00C51EF0">
              <w:rPr>
                <w:noProof/>
              </w:rPr>
              <w:t>65</w:t>
            </w:r>
            <w:r w:rsidRPr="00C51EF0">
              <w:rPr>
                <w:noProof/>
              </w:rPr>
              <w:fldChar w:fldCharType="end"/>
            </w:r>
          </w:hyperlink>
        </w:p>
        <w:p w:rsidR="00C51EF0" w:rsidRPr="00C51EF0" w:rsidRDefault="00C51EF0">
          <w:pPr>
            <w:pStyle w:val="TOC2"/>
            <w:tabs>
              <w:tab w:val="right" w:leader="dot" w:pos="9016"/>
            </w:tabs>
            <w:rPr>
              <w:noProof/>
            </w:rPr>
          </w:pPr>
          <w:hyperlink w:anchor="_Toc241908482" w:history="1">
            <w:r w:rsidRPr="00C51EF0">
              <w:rPr>
                <w:rStyle w:val="Hyperlink"/>
                <w:noProof/>
                <w:color w:val="auto"/>
              </w:rPr>
              <w:t>9.3 The Northern Kingdom of Israel</w:t>
            </w:r>
            <w:r w:rsidRPr="00C51EF0">
              <w:rPr>
                <w:noProof/>
              </w:rPr>
              <w:tab/>
            </w:r>
            <w:r w:rsidRPr="00C51EF0">
              <w:rPr>
                <w:noProof/>
              </w:rPr>
              <w:fldChar w:fldCharType="begin"/>
            </w:r>
            <w:r w:rsidRPr="00C51EF0">
              <w:rPr>
                <w:noProof/>
              </w:rPr>
              <w:instrText xml:space="preserve"> PAGEREF _Toc241908482 \h </w:instrText>
            </w:r>
            <w:r w:rsidRPr="00C51EF0">
              <w:rPr>
                <w:noProof/>
              </w:rPr>
            </w:r>
            <w:r w:rsidRPr="00C51EF0">
              <w:rPr>
                <w:noProof/>
              </w:rPr>
              <w:fldChar w:fldCharType="separate"/>
            </w:r>
            <w:r w:rsidRPr="00C51EF0">
              <w:rPr>
                <w:noProof/>
              </w:rPr>
              <w:t>65</w:t>
            </w:r>
            <w:r w:rsidRPr="00C51EF0">
              <w:rPr>
                <w:noProof/>
              </w:rPr>
              <w:fldChar w:fldCharType="end"/>
            </w:r>
          </w:hyperlink>
        </w:p>
        <w:p w:rsidR="00C51EF0" w:rsidRPr="00C51EF0" w:rsidRDefault="00C51EF0">
          <w:pPr>
            <w:pStyle w:val="TOC2"/>
            <w:tabs>
              <w:tab w:val="right" w:leader="dot" w:pos="9016"/>
            </w:tabs>
            <w:rPr>
              <w:noProof/>
            </w:rPr>
          </w:pPr>
          <w:hyperlink w:anchor="_Toc241908483" w:history="1">
            <w:r w:rsidRPr="00C51EF0">
              <w:rPr>
                <w:rStyle w:val="Hyperlink"/>
                <w:noProof/>
                <w:color w:val="auto"/>
              </w:rPr>
              <w:t>9.4 The Southern Kingdom of Judah</w:t>
            </w:r>
            <w:r w:rsidRPr="00C51EF0">
              <w:rPr>
                <w:noProof/>
              </w:rPr>
              <w:tab/>
            </w:r>
            <w:r w:rsidRPr="00C51EF0">
              <w:rPr>
                <w:noProof/>
              </w:rPr>
              <w:fldChar w:fldCharType="begin"/>
            </w:r>
            <w:r w:rsidRPr="00C51EF0">
              <w:rPr>
                <w:noProof/>
              </w:rPr>
              <w:instrText xml:space="preserve"> PAGEREF _Toc241908483 \h </w:instrText>
            </w:r>
            <w:r w:rsidRPr="00C51EF0">
              <w:rPr>
                <w:noProof/>
              </w:rPr>
            </w:r>
            <w:r w:rsidRPr="00C51EF0">
              <w:rPr>
                <w:noProof/>
              </w:rPr>
              <w:fldChar w:fldCharType="separate"/>
            </w:r>
            <w:r w:rsidRPr="00C51EF0">
              <w:rPr>
                <w:noProof/>
              </w:rPr>
              <w:t>67</w:t>
            </w:r>
            <w:r w:rsidRPr="00C51EF0">
              <w:rPr>
                <w:noProof/>
              </w:rPr>
              <w:fldChar w:fldCharType="end"/>
            </w:r>
          </w:hyperlink>
        </w:p>
        <w:p w:rsidR="00C51EF0" w:rsidRPr="00C51EF0" w:rsidRDefault="00C51EF0">
          <w:pPr>
            <w:pStyle w:val="TOC2"/>
            <w:tabs>
              <w:tab w:val="right" w:leader="dot" w:pos="9016"/>
            </w:tabs>
            <w:rPr>
              <w:noProof/>
            </w:rPr>
          </w:pPr>
          <w:hyperlink w:anchor="_Toc241908484" w:history="1">
            <w:r w:rsidRPr="00C51EF0">
              <w:rPr>
                <w:rStyle w:val="Hyperlink"/>
                <w:noProof/>
                <w:color w:val="auto"/>
              </w:rPr>
              <w:t>9.5 The Babylonian Conquest and the Exile</w:t>
            </w:r>
            <w:r w:rsidRPr="00C51EF0">
              <w:rPr>
                <w:noProof/>
              </w:rPr>
              <w:tab/>
            </w:r>
            <w:r w:rsidRPr="00C51EF0">
              <w:rPr>
                <w:noProof/>
              </w:rPr>
              <w:fldChar w:fldCharType="begin"/>
            </w:r>
            <w:r w:rsidRPr="00C51EF0">
              <w:rPr>
                <w:noProof/>
              </w:rPr>
              <w:instrText xml:space="preserve"> PAGEREF _Toc241908484 \h </w:instrText>
            </w:r>
            <w:r w:rsidRPr="00C51EF0">
              <w:rPr>
                <w:noProof/>
              </w:rPr>
            </w:r>
            <w:r w:rsidRPr="00C51EF0">
              <w:rPr>
                <w:noProof/>
              </w:rPr>
              <w:fldChar w:fldCharType="separate"/>
            </w:r>
            <w:r w:rsidRPr="00C51EF0">
              <w:rPr>
                <w:noProof/>
              </w:rPr>
              <w:t>69</w:t>
            </w:r>
            <w:r w:rsidRPr="00C51EF0">
              <w:rPr>
                <w:noProof/>
              </w:rPr>
              <w:fldChar w:fldCharType="end"/>
            </w:r>
          </w:hyperlink>
        </w:p>
        <w:p w:rsidR="00C51EF0" w:rsidRPr="00C51EF0" w:rsidRDefault="00C51EF0">
          <w:pPr>
            <w:pStyle w:val="TOC2"/>
            <w:tabs>
              <w:tab w:val="right" w:leader="dot" w:pos="9016"/>
            </w:tabs>
            <w:rPr>
              <w:noProof/>
            </w:rPr>
          </w:pPr>
          <w:hyperlink w:anchor="_Toc241908485" w:history="1">
            <w:r w:rsidRPr="00C51EF0">
              <w:rPr>
                <w:rStyle w:val="Hyperlink"/>
                <w:noProof/>
                <w:color w:val="auto"/>
              </w:rPr>
              <w:t>9.6 The Persian Period and the Return</w:t>
            </w:r>
            <w:r w:rsidRPr="00C51EF0">
              <w:rPr>
                <w:noProof/>
              </w:rPr>
              <w:tab/>
            </w:r>
            <w:r w:rsidRPr="00C51EF0">
              <w:rPr>
                <w:noProof/>
              </w:rPr>
              <w:fldChar w:fldCharType="begin"/>
            </w:r>
            <w:r w:rsidRPr="00C51EF0">
              <w:rPr>
                <w:noProof/>
              </w:rPr>
              <w:instrText xml:space="preserve"> PAGEREF _Toc241908485 \h </w:instrText>
            </w:r>
            <w:r w:rsidRPr="00C51EF0">
              <w:rPr>
                <w:noProof/>
              </w:rPr>
            </w:r>
            <w:r w:rsidRPr="00C51EF0">
              <w:rPr>
                <w:noProof/>
              </w:rPr>
              <w:fldChar w:fldCharType="separate"/>
            </w:r>
            <w:r w:rsidRPr="00C51EF0">
              <w:rPr>
                <w:noProof/>
              </w:rPr>
              <w:t>71</w:t>
            </w:r>
            <w:r w:rsidRPr="00C51EF0">
              <w:rPr>
                <w:noProof/>
              </w:rPr>
              <w:fldChar w:fldCharType="end"/>
            </w:r>
          </w:hyperlink>
        </w:p>
        <w:p w:rsidR="00C51EF0" w:rsidRPr="00C51EF0" w:rsidRDefault="00C51EF0">
          <w:pPr>
            <w:pStyle w:val="TOC2"/>
            <w:tabs>
              <w:tab w:val="right" w:leader="dot" w:pos="9016"/>
            </w:tabs>
            <w:rPr>
              <w:noProof/>
            </w:rPr>
          </w:pPr>
          <w:hyperlink w:anchor="_Toc241908486" w:history="1">
            <w:r w:rsidRPr="00C51EF0">
              <w:rPr>
                <w:rStyle w:val="Hyperlink"/>
                <w:noProof/>
                <w:color w:val="auto"/>
              </w:rPr>
              <w:t>9.7 Summary</w:t>
            </w:r>
            <w:r w:rsidRPr="00C51EF0">
              <w:rPr>
                <w:noProof/>
              </w:rPr>
              <w:tab/>
            </w:r>
            <w:r w:rsidRPr="00C51EF0">
              <w:rPr>
                <w:noProof/>
              </w:rPr>
              <w:fldChar w:fldCharType="begin"/>
            </w:r>
            <w:r w:rsidRPr="00C51EF0">
              <w:rPr>
                <w:noProof/>
              </w:rPr>
              <w:instrText xml:space="preserve"> PAGEREF _Toc241908486 \h </w:instrText>
            </w:r>
            <w:r w:rsidRPr="00C51EF0">
              <w:rPr>
                <w:noProof/>
              </w:rPr>
            </w:r>
            <w:r w:rsidRPr="00C51EF0">
              <w:rPr>
                <w:noProof/>
              </w:rPr>
              <w:fldChar w:fldCharType="separate"/>
            </w:r>
            <w:r w:rsidRPr="00C51EF0">
              <w:rPr>
                <w:noProof/>
              </w:rPr>
              <w:t>72</w:t>
            </w:r>
            <w:r w:rsidRPr="00C51EF0">
              <w:rPr>
                <w:noProof/>
              </w:rPr>
              <w:fldChar w:fldCharType="end"/>
            </w:r>
          </w:hyperlink>
        </w:p>
        <w:p w:rsidR="00C51EF0" w:rsidRPr="00C51EF0" w:rsidRDefault="00C51EF0">
          <w:pPr>
            <w:pStyle w:val="TOC2"/>
            <w:tabs>
              <w:tab w:val="right" w:leader="dot" w:pos="9016"/>
            </w:tabs>
            <w:rPr>
              <w:noProof/>
            </w:rPr>
          </w:pPr>
          <w:hyperlink w:anchor="_Toc241908487" w:history="1">
            <w:r w:rsidRPr="00C51EF0">
              <w:rPr>
                <w:rStyle w:val="Hyperlink"/>
                <w:noProof/>
                <w:color w:val="auto"/>
              </w:rPr>
              <w:t>9.8 Life Application</w:t>
            </w:r>
            <w:r w:rsidRPr="00C51EF0">
              <w:rPr>
                <w:noProof/>
              </w:rPr>
              <w:tab/>
            </w:r>
            <w:r w:rsidRPr="00C51EF0">
              <w:rPr>
                <w:noProof/>
              </w:rPr>
              <w:fldChar w:fldCharType="begin"/>
            </w:r>
            <w:r w:rsidRPr="00C51EF0">
              <w:rPr>
                <w:noProof/>
              </w:rPr>
              <w:instrText xml:space="preserve"> PAGEREF _Toc241908487 \h </w:instrText>
            </w:r>
            <w:r w:rsidRPr="00C51EF0">
              <w:rPr>
                <w:noProof/>
              </w:rPr>
            </w:r>
            <w:r w:rsidRPr="00C51EF0">
              <w:rPr>
                <w:noProof/>
              </w:rPr>
              <w:fldChar w:fldCharType="separate"/>
            </w:r>
            <w:r w:rsidRPr="00C51EF0">
              <w:rPr>
                <w:noProof/>
              </w:rPr>
              <w:t>72</w:t>
            </w:r>
            <w:r w:rsidRPr="00C51EF0">
              <w:rPr>
                <w:noProof/>
              </w:rPr>
              <w:fldChar w:fldCharType="end"/>
            </w:r>
          </w:hyperlink>
        </w:p>
        <w:p w:rsidR="00C51EF0" w:rsidRPr="00C51EF0" w:rsidRDefault="00C51EF0">
          <w:pPr>
            <w:pStyle w:val="TOC2"/>
            <w:tabs>
              <w:tab w:val="right" w:leader="dot" w:pos="9016"/>
            </w:tabs>
            <w:rPr>
              <w:noProof/>
            </w:rPr>
          </w:pPr>
          <w:hyperlink w:anchor="_Toc241908488" w:history="1">
            <w:r w:rsidRPr="00C51EF0">
              <w:rPr>
                <w:rStyle w:val="Hyperlink"/>
                <w:noProof/>
                <w:color w:val="auto"/>
              </w:rPr>
              <w:t>9.9 Discussion Questions</w:t>
            </w:r>
            <w:r w:rsidRPr="00C51EF0">
              <w:rPr>
                <w:noProof/>
              </w:rPr>
              <w:tab/>
            </w:r>
            <w:r w:rsidRPr="00C51EF0">
              <w:rPr>
                <w:noProof/>
              </w:rPr>
              <w:fldChar w:fldCharType="begin"/>
            </w:r>
            <w:r w:rsidRPr="00C51EF0">
              <w:rPr>
                <w:noProof/>
              </w:rPr>
              <w:instrText xml:space="preserve"> PAGEREF _Toc241908488 \h </w:instrText>
            </w:r>
            <w:r w:rsidRPr="00C51EF0">
              <w:rPr>
                <w:noProof/>
              </w:rPr>
            </w:r>
            <w:r w:rsidRPr="00C51EF0">
              <w:rPr>
                <w:noProof/>
              </w:rPr>
              <w:fldChar w:fldCharType="separate"/>
            </w:r>
            <w:r w:rsidRPr="00C51EF0">
              <w:rPr>
                <w:noProof/>
              </w:rPr>
              <w:t>73</w:t>
            </w:r>
            <w:r w:rsidRPr="00C51EF0">
              <w:rPr>
                <w:noProof/>
              </w:rPr>
              <w:fldChar w:fldCharType="end"/>
            </w:r>
          </w:hyperlink>
        </w:p>
        <w:p w:rsidR="00C51EF0" w:rsidRPr="00C51EF0" w:rsidRDefault="00C51EF0">
          <w:pPr>
            <w:pStyle w:val="TOC2"/>
            <w:tabs>
              <w:tab w:val="right" w:leader="dot" w:pos="9016"/>
            </w:tabs>
            <w:rPr>
              <w:noProof/>
            </w:rPr>
          </w:pPr>
          <w:hyperlink w:anchor="_Toc241908489" w:history="1">
            <w:r w:rsidRPr="00C51EF0">
              <w:rPr>
                <w:rStyle w:val="Hyperlink"/>
                <w:noProof/>
                <w:color w:val="auto"/>
              </w:rPr>
              <w:t>9.10 Further Reading</w:t>
            </w:r>
            <w:r w:rsidRPr="00C51EF0">
              <w:rPr>
                <w:noProof/>
              </w:rPr>
              <w:tab/>
            </w:r>
            <w:r w:rsidRPr="00C51EF0">
              <w:rPr>
                <w:noProof/>
              </w:rPr>
              <w:fldChar w:fldCharType="begin"/>
            </w:r>
            <w:r w:rsidRPr="00C51EF0">
              <w:rPr>
                <w:noProof/>
              </w:rPr>
              <w:instrText xml:space="preserve"> PAGEREF _Toc241908489 \h </w:instrText>
            </w:r>
            <w:r w:rsidRPr="00C51EF0">
              <w:rPr>
                <w:noProof/>
              </w:rPr>
            </w:r>
            <w:r w:rsidRPr="00C51EF0">
              <w:rPr>
                <w:noProof/>
              </w:rPr>
              <w:fldChar w:fldCharType="separate"/>
            </w:r>
            <w:r w:rsidRPr="00C51EF0">
              <w:rPr>
                <w:noProof/>
              </w:rPr>
              <w:t>73</w:t>
            </w:r>
            <w:r w:rsidRPr="00C51EF0">
              <w:rPr>
                <w:noProof/>
              </w:rPr>
              <w:fldChar w:fldCharType="end"/>
            </w:r>
          </w:hyperlink>
        </w:p>
        <w:p w:rsidR="00C51EF0" w:rsidRPr="00C51EF0" w:rsidRDefault="00C51EF0">
          <w:pPr>
            <w:pStyle w:val="TOC1"/>
            <w:tabs>
              <w:tab w:val="right" w:leader="dot" w:pos="9016"/>
            </w:tabs>
            <w:rPr>
              <w:noProof/>
            </w:rPr>
          </w:pPr>
          <w:hyperlink w:anchor="_Toc241908490" w:history="1">
            <w:r w:rsidRPr="00C51EF0">
              <w:rPr>
                <w:rStyle w:val="Hyperlink"/>
                <w:noProof/>
                <w:color w:val="auto"/>
              </w:rPr>
              <w:t>UNIT TEN: THE DEAD SEA SCROLLS AND THE WORLD OF SECOND TEMPLE JUDAISM</w:t>
            </w:r>
            <w:r w:rsidRPr="00C51EF0">
              <w:rPr>
                <w:noProof/>
              </w:rPr>
              <w:tab/>
            </w:r>
            <w:r w:rsidRPr="00C51EF0">
              <w:rPr>
                <w:noProof/>
              </w:rPr>
              <w:fldChar w:fldCharType="begin"/>
            </w:r>
            <w:r w:rsidRPr="00C51EF0">
              <w:rPr>
                <w:noProof/>
              </w:rPr>
              <w:instrText xml:space="preserve"> PAGEREF _Toc241908490 \h </w:instrText>
            </w:r>
            <w:r w:rsidRPr="00C51EF0">
              <w:rPr>
                <w:noProof/>
              </w:rPr>
            </w:r>
            <w:r w:rsidRPr="00C51EF0">
              <w:rPr>
                <w:noProof/>
              </w:rPr>
              <w:fldChar w:fldCharType="separate"/>
            </w:r>
            <w:r w:rsidRPr="00C51EF0">
              <w:rPr>
                <w:noProof/>
              </w:rPr>
              <w:t>75</w:t>
            </w:r>
            <w:r w:rsidRPr="00C51EF0">
              <w:rPr>
                <w:noProof/>
              </w:rPr>
              <w:fldChar w:fldCharType="end"/>
            </w:r>
          </w:hyperlink>
        </w:p>
        <w:p w:rsidR="00C51EF0" w:rsidRPr="00C51EF0" w:rsidRDefault="00C51EF0">
          <w:pPr>
            <w:pStyle w:val="TOC2"/>
            <w:tabs>
              <w:tab w:val="right" w:leader="dot" w:pos="9016"/>
            </w:tabs>
            <w:rPr>
              <w:noProof/>
            </w:rPr>
          </w:pPr>
          <w:hyperlink w:anchor="_Toc241908491" w:history="1">
            <w:r w:rsidRPr="00C51EF0">
              <w:rPr>
                <w:rStyle w:val="Hyperlink"/>
                <w:noProof/>
                <w:color w:val="auto"/>
              </w:rPr>
              <w:t>10.1 Introduction</w:t>
            </w:r>
            <w:r w:rsidRPr="00C51EF0">
              <w:rPr>
                <w:noProof/>
              </w:rPr>
              <w:tab/>
            </w:r>
            <w:r w:rsidRPr="00C51EF0">
              <w:rPr>
                <w:noProof/>
              </w:rPr>
              <w:fldChar w:fldCharType="begin"/>
            </w:r>
            <w:r w:rsidRPr="00C51EF0">
              <w:rPr>
                <w:noProof/>
              </w:rPr>
              <w:instrText xml:space="preserve"> PAGEREF _Toc241908491 \h </w:instrText>
            </w:r>
            <w:r w:rsidRPr="00C51EF0">
              <w:rPr>
                <w:noProof/>
              </w:rPr>
            </w:r>
            <w:r w:rsidRPr="00C51EF0">
              <w:rPr>
                <w:noProof/>
              </w:rPr>
              <w:fldChar w:fldCharType="separate"/>
            </w:r>
            <w:r w:rsidRPr="00C51EF0">
              <w:rPr>
                <w:noProof/>
              </w:rPr>
              <w:t>75</w:t>
            </w:r>
            <w:r w:rsidRPr="00C51EF0">
              <w:rPr>
                <w:noProof/>
              </w:rPr>
              <w:fldChar w:fldCharType="end"/>
            </w:r>
          </w:hyperlink>
        </w:p>
        <w:p w:rsidR="00C51EF0" w:rsidRPr="00C51EF0" w:rsidRDefault="00C51EF0">
          <w:pPr>
            <w:pStyle w:val="TOC2"/>
            <w:tabs>
              <w:tab w:val="right" w:leader="dot" w:pos="9016"/>
            </w:tabs>
            <w:rPr>
              <w:noProof/>
            </w:rPr>
          </w:pPr>
          <w:hyperlink w:anchor="_Toc241908492" w:history="1">
            <w:r w:rsidRPr="00C51EF0">
              <w:rPr>
                <w:rStyle w:val="Hyperlink"/>
                <w:noProof/>
                <w:color w:val="auto"/>
              </w:rPr>
              <w:t>10.2 Learning Objectives</w:t>
            </w:r>
            <w:r w:rsidRPr="00C51EF0">
              <w:rPr>
                <w:noProof/>
              </w:rPr>
              <w:tab/>
            </w:r>
            <w:r w:rsidRPr="00C51EF0">
              <w:rPr>
                <w:noProof/>
              </w:rPr>
              <w:fldChar w:fldCharType="begin"/>
            </w:r>
            <w:r w:rsidRPr="00C51EF0">
              <w:rPr>
                <w:noProof/>
              </w:rPr>
              <w:instrText xml:space="preserve"> PAGEREF _Toc241908492 \h </w:instrText>
            </w:r>
            <w:r w:rsidRPr="00C51EF0">
              <w:rPr>
                <w:noProof/>
              </w:rPr>
            </w:r>
            <w:r w:rsidRPr="00C51EF0">
              <w:rPr>
                <w:noProof/>
              </w:rPr>
              <w:fldChar w:fldCharType="separate"/>
            </w:r>
            <w:r w:rsidRPr="00C51EF0">
              <w:rPr>
                <w:noProof/>
              </w:rPr>
              <w:t>75</w:t>
            </w:r>
            <w:r w:rsidRPr="00C51EF0">
              <w:rPr>
                <w:noProof/>
              </w:rPr>
              <w:fldChar w:fldCharType="end"/>
            </w:r>
          </w:hyperlink>
        </w:p>
        <w:p w:rsidR="00C51EF0" w:rsidRPr="00C51EF0" w:rsidRDefault="00C51EF0">
          <w:pPr>
            <w:pStyle w:val="TOC2"/>
            <w:tabs>
              <w:tab w:val="right" w:leader="dot" w:pos="9016"/>
            </w:tabs>
            <w:rPr>
              <w:noProof/>
            </w:rPr>
          </w:pPr>
          <w:hyperlink w:anchor="_Toc241908493" w:history="1">
            <w:r w:rsidRPr="00C51EF0">
              <w:rPr>
                <w:rStyle w:val="Hyperlink"/>
                <w:noProof/>
                <w:color w:val="auto"/>
              </w:rPr>
              <w:t>10.3 The Discovery</w:t>
            </w:r>
            <w:r w:rsidRPr="00C51EF0">
              <w:rPr>
                <w:noProof/>
              </w:rPr>
              <w:tab/>
            </w:r>
            <w:r w:rsidRPr="00C51EF0">
              <w:rPr>
                <w:noProof/>
              </w:rPr>
              <w:fldChar w:fldCharType="begin"/>
            </w:r>
            <w:r w:rsidRPr="00C51EF0">
              <w:rPr>
                <w:noProof/>
              </w:rPr>
              <w:instrText xml:space="preserve"> PAGEREF _Toc241908493 \h </w:instrText>
            </w:r>
            <w:r w:rsidRPr="00C51EF0">
              <w:rPr>
                <w:noProof/>
              </w:rPr>
            </w:r>
            <w:r w:rsidRPr="00C51EF0">
              <w:rPr>
                <w:noProof/>
              </w:rPr>
              <w:fldChar w:fldCharType="separate"/>
            </w:r>
            <w:r w:rsidRPr="00C51EF0">
              <w:rPr>
                <w:noProof/>
              </w:rPr>
              <w:t>75</w:t>
            </w:r>
            <w:r w:rsidRPr="00C51EF0">
              <w:rPr>
                <w:noProof/>
              </w:rPr>
              <w:fldChar w:fldCharType="end"/>
            </w:r>
          </w:hyperlink>
        </w:p>
        <w:p w:rsidR="00C51EF0" w:rsidRPr="00C51EF0" w:rsidRDefault="00C51EF0">
          <w:pPr>
            <w:pStyle w:val="TOC2"/>
            <w:tabs>
              <w:tab w:val="right" w:leader="dot" w:pos="9016"/>
            </w:tabs>
            <w:rPr>
              <w:noProof/>
            </w:rPr>
          </w:pPr>
          <w:hyperlink w:anchor="_Toc241908494" w:history="1">
            <w:r w:rsidRPr="00C51EF0">
              <w:rPr>
                <w:rStyle w:val="Hyperlink"/>
                <w:noProof/>
                <w:color w:val="auto"/>
              </w:rPr>
              <w:t>10.4 What the Scrolls Contain</w:t>
            </w:r>
            <w:r w:rsidRPr="00C51EF0">
              <w:rPr>
                <w:noProof/>
              </w:rPr>
              <w:tab/>
            </w:r>
            <w:r w:rsidRPr="00C51EF0">
              <w:rPr>
                <w:noProof/>
              </w:rPr>
              <w:fldChar w:fldCharType="begin"/>
            </w:r>
            <w:r w:rsidRPr="00C51EF0">
              <w:rPr>
                <w:noProof/>
              </w:rPr>
              <w:instrText xml:space="preserve"> PAGEREF _Toc241908494 \h </w:instrText>
            </w:r>
            <w:r w:rsidRPr="00C51EF0">
              <w:rPr>
                <w:noProof/>
              </w:rPr>
            </w:r>
            <w:r w:rsidRPr="00C51EF0">
              <w:rPr>
                <w:noProof/>
              </w:rPr>
              <w:fldChar w:fldCharType="separate"/>
            </w:r>
            <w:r w:rsidRPr="00C51EF0">
              <w:rPr>
                <w:noProof/>
              </w:rPr>
              <w:t>76</w:t>
            </w:r>
            <w:r w:rsidRPr="00C51EF0">
              <w:rPr>
                <w:noProof/>
              </w:rPr>
              <w:fldChar w:fldCharType="end"/>
            </w:r>
          </w:hyperlink>
        </w:p>
        <w:p w:rsidR="00C51EF0" w:rsidRPr="00C51EF0" w:rsidRDefault="00C51EF0">
          <w:pPr>
            <w:pStyle w:val="TOC2"/>
            <w:tabs>
              <w:tab w:val="right" w:leader="dot" w:pos="9016"/>
            </w:tabs>
            <w:rPr>
              <w:noProof/>
            </w:rPr>
          </w:pPr>
          <w:hyperlink w:anchor="_Toc241908495" w:history="1">
            <w:r w:rsidRPr="00C51EF0">
              <w:rPr>
                <w:rStyle w:val="Hyperlink"/>
                <w:noProof/>
                <w:color w:val="auto"/>
              </w:rPr>
              <w:t>10.5 The Archaeology of Qumran</w:t>
            </w:r>
            <w:r w:rsidRPr="00C51EF0">
              <w:rPr>
                <w:noProof/>
              </w:rPr>
              <w:tab/>
            </w:r>
            <w:r w:rsidRPr="00C51EF0">
              <w:rPr>
                <w:noProof/>
              </w:rPr>
              <w:fldChar w:fldCharType="begin"/>
            </w:r>
            <w:r w:rsidRPr="00C51EF0">
              <w:rPr>
                <w:noProof/>
              </w:rPr>
              <w:instrText xml:space="preserve"> PAGEREF _Toc241908495 \h </w:instrText>
            </w:r>
            <w:r w:rsidRPr="00C51EF0">
              <w:rPr>
                <w:noProof/>
              </w:rPr>
            </w:r>
            <w:r w:rsidRPr="00C51EF0">
              <w:rPr>
                <w:noProof/>
              </w:rPr>
              <w:fldChar w:fldCharType="separate"/>
            </w:r>
            <w:r w:rsidRPr="00C51EF0">
              <w:rPr>
                <w:noProof/>
              </w:rPr>
              <w:t>77</w:t>
            </w:r>
            <w:r w:rsidRPr="00C51EF0">
              <w:rPr>
                <w:noProof/>
              </w:rPr>
              <w:fldChar w:fldCharType="end"/>
            </w:r>
          </w:hyperlink>
        </w:p>
        <w:p w:rsidR="00C51EF0" w:rsidRPr="00C51EF0" w:rsidRDefault="00C51EF0">
          <w:pPr>
            <w:pStyle w:val="TOC2"/>
            <w:tabs>
              <w:tab w:val="right" w:leader="dot" w:pos="9016"/>
            </w:tabs>
            <w:rPr>
              <w:noProof/>
            </w:rPr>
          </w:pPr>
          <w:hyperlink w:anchor="_Toc241908496" w:history="1">
            <w:r w:rsidRPr="00C51EF0">
              <w:rPr>
                <w:rStyle w:val="Hyperlink"/>
                <w:noProof/>
                <w:color w:val="auto"/>
              </w:rPr>
              <w:t>10.6 Importance for the Text of the Old Testament</w:t>
            </w:r>
            <w:r w:rsidRPr="00C51EF0">
              <w:rPr>
                <w:noProof/>
              </w:rPr>
              <w:tab/>
            </w:r>
            <w:r w:rsidRPr="00C51EF0">
              <w:rPr>
                <w:noProof/>
              </w:rPr>
              <w:fldChar w:fldCharType="begin"/>
            </w:r>
            <w:r w:rsidRPr="00C51EF0">
              <w:rPr>
                <w:noProof/>
              </w:rPr>
              <w:instrText xml:space="preserve"> PAGEREF _Toc241908496 \h </w:instrText>
            </w:r>
            <w:r w:rsidRPr="00C51EF0">
              <w:rPr>
                <w:noProof/>
              </w:rPr>
            </w:r>
            <w:r w:rsidRPr="00C51EF0">
              <w:rPr>
                <w:noProof/>
              </w:rPr>
              <w:fldChar w:fldCharType="separate"/>
            </w:r>
            <w:r w:rsidRPr="00C51EF0">
              <w:rPr>
                <w:noProof/>
              </w:rPr>
              <w:t>77</w:t>
            </w:r>
            <w:r w:rsidRPr="00C51EF0">
              <w:rPr>
                <w:noProof/>
              </w:rPr>
              <w:fldChar w:fldCharType="end"/>
            </w:r>
          </w:hyperlink>
        </w:p>
        <w:p w:rsidR="00C51EF0" w:rsidRPr="00C51EF0" w:rsidRDefault="00C51EF0">
          <w:pPr>
            <w:pStyle w:val="TOC2"/>
            <w:tabs>
              <w:tab w:val="right" w:leader="dot" w:pos="9016"/>
            </w:tabs>
            <w:rPr>
              <w:noProof/>
            </w:rPr>
          </w:pPr>
          <w:hyperlink w:anchor="_Toc241908497" w:history="1">
            <w:r w:rsidRPr="00C51EF0">
              <w:rPr>
                <w:rStyle w:val="Hyperlink"/>
                <w:noProof/>
                <w:color w:val="auto"/>
              </w:rPr>
              <w:t>10.7 Importance for the New Testament</w:t>
            </w:r>
            <w:r w:rsidRPr="00C51EF0">
              <w:rPr>
                <w:noProof/>
              </w:rPr>
              <w:tab/>
            </w:r>
            <w:r w:rsidRPr="00C51EF0">
              <w:rPr>
                <w:noProof/>
              </w:rPr>
              <w:fldChar w:fldCharType="begin"/>
            </w:r>
            <w:r w:rsidRPr="00C51EF0">
              <w:rPr>
                <w:noProof/>
              </w:rPr>
              <w:instrText xml:space="preserve"> PAGEREF _Toc241908497 \h </w:instrText>
            </w:r>
            <w:r w:rsidRPr="00C51EF0">
              <w:rPr>
                <w:noProof/>
              </w:rPr>
            </w:r>
            <w:r w:rsidRPr="00C51EF0">
              <w:rPr>
                <w:noProof/>
              </w:rPr>
              <w:fldChar w:fldCharType="separate"/>
            </w:r>
            <w:r w:rsidRPr="00C51EF0">
              <w:rPr>
                <w:noProof/>
              </w:rPr>
              <w:t>78</w:t>
            </w:r>
            <w:r w:rsidRPr="00C51EF0">
              <w:rPr>
                <w:noProof/>
              </w:rPr>
              <w:fldChar w:fldCharType="end"/>
            </w:r>
          </w:hyperlink>
        </w:p>
        <w:p w:rsidR="00C51EF0" w:rsidRPr="00C51EF0" w:rsidRDefault="00C51EF0">
          <w:pPr>
            <w:pStyle w:val="TOC2"/>
            <w:tabs>
              <w:tab w:val="right" w:leader="dot" w:pos="9016"/>
            </w:tabs>
            <w:rPr>
              <w:noProof/>
            </w:rPr>
          </w:pPr>
          <w:hyperlink w:anchor="_Toc241908498" w:history="1">
            <w:r w:rsidRPr="00C51EF0">
              <w:rPr>
                <w:rStyle w:val="Hyperlink"/>
                <w:noProof/>
                <w:color w:val="auto"/>
              </w:rPr>
              <w:t>10.8 Other Evidence from the Greek and Early Roman Periods</w:t>
            </w:r>
            <w:r w:rsidRPr="00C51EF0">
              <w:rPr>
                <w:noProof/>
              </w:rPr>
              <w:tab/>
            </w:r>
            <w:r w:rsidRPr="00C51EF0">
              <w:rPr>
                <w:noProof/>
              </w:rPr>
              <w:fldChar w:fldCharType="begin"/>
            </w:r>
            <w:r w:rsidRPr="00C51EF0">
              <w:rPr>
                <w:noProof/>
              </w:rPr>
              <w:instrText xml:space="preserve"> PAGEREF _Toc241908498 \h </w:instrText>
            </w:r>
            <w:r w:rsidRPr="00C51EF0">
              <w:rPr>
                <w:noProof/>
              </w:rPr>
            </w:r>
            <w:r w:rsidRPr="00C51EF0">
              <w:rPr>
                <w:noProof/>
              </w:rPr>
              <w:fldChar w:fldCharType="separate"/>
            </w:r>
            <w:r w:rsidRPr="00C51EF0">
              <w:rPr>
                <w:noProof/>
              </w:rPr>
              <w:t>79</w:t>
            </w:r>
            <w:r w:rsidRPr="00C51EF0">
              <w:rPr>
                <w:noProof/>
              </w:rPr>
              <w:fldChar w:fldCharType="end"/>
            </w:r>
          </w:hyperlink>
        </w:p>
        <w:p w:rsidR="00C51EF0" w:rsidRPr="00C51EF0" w:rsidRDefault="00C51EF0">
          <w:pPr>
            <w:pStyle w:val="TOC2"/>
            <w:tabs>
              <w:tab w:val="right" w:leader="dot" w:pos="9016"/>
            </w:tabs>
            <w:rPr>
              <w:noProof/>
            </w:rPr>
          </w:pPr>
          <w:hyperlink w:anchor="_Toc241908499" w:history="1">
            <w:r w:rsidRPr="00C51EF0">
              <w:rPr>
                <w:rStyle w:val="Hyperlink"/>
                <w:noProof/>
                <w:color w:val="auto"/>
              </w:rPr>
              <w:t>10.9 Summary</w:t>
            </w:r>
            <w:r w:rsidRPr="00C51EF0">
              <w:rPr>
                <w:noProof/>
              </w:rPr>
              <w:tab/>
            </w:r>
            <w:r w:rsidRPr="00C51EF0">
              <w:rPr>
                <w:noProof/>
              </w:rPr>
              <w:fldChar w:fldCharType="begin"/>
            </w:r>
            <w:r w:rsidRPr="00C51EF0">
              <w:rPr>
                <w:noProof/>
              </w:rPr>
              <w:instrText xml:space="preserve"> PAGEREF _Toc241908499 \h </w:instrText>
            </w:r>
            <w:r w:rsidRPr="00C51EF0">
              <w:rPr>
                <w:noProof/>
              </w:rPr>
            </w:r>
            <w:r w:rsidRPr="00C51EF0">
              <w:rPr>
                <w:noProof/>
              </w:rPr>
              <w:fldChar w:fldCharType="separate"/>
            </w:r>
            <w:r w:rsidRPr="00C51EF0">
              <w:rPr>
                <w:noProof/>
              </w:rPr>
              <w:t>80</w:t>
            </w:r>
            <w:r w:rsidRPr="00C51EF0">
              <w:rPr>
                <w:noProof/>
              </w:rPr>
              <w:fldChar w:fldCharType="end"/>
            </w:r>
          </w:hyperlink>
        </w:p>
        <w:p w:rsidR="00C51EF0" w:rsidRPr="00C51EF0" w:rsidRDefault="00C51EF0">
          <w:pPr>
            <w:pStyle w:val="TOC2"/>
            <w:tabs>
              <w:tab w:val="right" w:leader="dot" w:pos="9016"/>
            </w:tabs>
            <w:rPr>
              <w:noProof/>
            </w:rPr>
          </w:pPr>
          <w:hyperlink w:anchor="_Toc241908500" w:history="1">
            <w:r w:rsidRPr="00C51EF0">
              <w:rPr>
                <w:rStyle w:val="Hyperlink"/>
                <w:noProof/>
                <w:color w:val="auto"/>
              </w:rPr>
              <w:t>10.10 Life Application</w:t>
            </w:r>
            <w:r w:rsidRPr="00C51EF0">
              <w:rPr>
                <w:noProof/>
              </w:rPr>
              <w:tab/>
            </w:r>
            <w:r w:rsidRPr="00C51EF0">
              <w:rPr>
                <w:noProof/>
              </w:rPr>
              <w:fldChar w:fldCharType="begin"/>
            </w:r>
            <w:r w:rsidRPr="00C51EF0">
              <w:rPr>
                <w:noProof/>
              </w:rPr>
              <w:instrText xml:space="preserve"> PAGEREF _Toc241908500 \h </w:instrText>
            </w:r>
            <w:r w:rsidRPr="00C51EF0">
              <w:rPr>
                <w:noProof/>
              </w:rPr>
            </w:r>
            <w:r w:rsidRPr="00C51EF0">
              <w:rPr>
                <w:noProof/>
              </w:rPr>
              <w:fldChar w:fldCharType="separate"/>
            </w:r>
            <w:r w:rsidRPr="00C51EF0">
              <w:rPr>
                <w:noProof/>
              </w:rPr>
              <w:t>80</w:t>
            </w:r>
            <w:r w:rsidRPr="00C51EF0">
              <w:rPr>
                <w:noProof/>
              </w:rPr>
              <w:fldChar w:fldCharType="end"/>
            </w:r>
          </w:hyperlink>
        </w:p>
        <w:p w:rsidR="00C51EF0" w:rsidRPr="00C51EF0" w:rsidRDefault="00C51EF0">
          <w:pPr>
            <w:pStyle w:val="TOC2"/>
            <w:tabs>
              <w:tab w:val="right" w:leader="dot" w:pos="9016"/>
            </w:tabs>
            <w:rPr>
              <w:noProof/>
            </w:rPr>
          </w:pPr>
          <w:hyperlink w:anchor="_Toc241908501" w:history="1">
            <w:r w:rsidRPr="00C51EF0">
              <w:rPr>
                <w:rStyle w:val="Hyperlink"/>
                <w:noProof/>
                <w:color w:val="auto"/>
              </w:rPr>
              <w:t>10.11 Discussion Questions</w:t>
            </w:r>
            <w:r w:rsidRPr="00C51EF0">
              <w:rPr>
                <w:noProof/>
              </w:rPr>
              <w:tab/>
            </w:r>
            <w:r w:rsidRPr="00C51EF0">
              <w:rPr>
                <w:noProof/>
              </w:rPr>
              <w:fldChar w:fldCharType="begin"/>
            </w:r>
            <w:r w:rsidRPr="00C51EF0">
              <w:rPr>
                <w:noProof/>
              </w:rPr>
              <w:instrText xml:space="preserve"> PAGEREF _Toc241908501 \h </w:instrText>
            </w:r>
            <w:r w:rsidRPr="00C51EF0">
              <w:rPr>
                <w:noProof/>
              </w:rPr>
            </w:r>
            <w:r w:rsidRPr="00C51EF0">
              <w:rPr>
                <w:noProof/>
              </w:rPr>
              <w:fldChar w:fldCharType="separate"/>
            </w:r>
            <w:r w:rsidRPr="00C51EF0">
              <w:rPr>
                <w:noProof/>
              </w:rPr>
              <w:t>81</w:t>
            </w:r>
            <w:r w:rsidRPr="00C51EF0">
              <w:rPr>
                <w:noProof/>
              </w:rPr>
              <w:fldChar w:fldCharType="end"/>
            </w:r>
          </w:hyperlink>
        </w:p>
        <w:p w:rsidR="00C51EF0" w:rsidRPr="00C51EF0" w:rsidRDefault="00C51EF0">
          <w:pPr>
            <w:pStyle w:val="TOC2"/>
            <w:tabs>
              <w:tab w:val="right" w:leader="dot" w:pos="9016"/>
            </w:tabs>
            <w:rPr>
              <w:noProof/>
            </w:rPr>
          </w:pPr>
          <w:hyperlink w:anchor="_Toc241908502" w:history="1">
            <w:r w:rsidRPr="00C51EF0">
              <w:rPr>
                <w:rStyle w:val="Hyperlink"/>
                <w:noProof/>
                <w:color w:val="auto"/>
              </w:rPr>
              <w:t>10.12 Further Reading</w:t>
            </w:r>
            <w:r w:rsidRPr="00C51EF0">
              <w:rPr>
                <w:noProof/>
              </w:rPr>
              <w:tab/>
            </w:r>
            <w:r w:rsidRPr="00C51EF0">
              <w:rPr>
                <w:noProof/>
              </w:rPr>
              <w:fldChar w:fldCharType="begin"/>
            </w:r>
            <w:r w:rsidRPr="00C51EF0">
              <w:rPr>
                <w:noProof/>
              </w:rPr>
              <w:instrText xml:space="preserve"> PAGEREF _Toc241908502 \h </w:instrText>
            </w:r>
            <w:r w:rsidRPr="00C51EF0">
              <w:rPr>
                <w:noProof/>
              </w:rPr>
            </w:r>
            <w:r w:rsidRPr="00C51EF0">
              <w:rPr>
                <w:noProof/>
              </w:rPr>
              <w:fldChar w:fldCharType="separate"/>
            </w:r>
            <w:r w:rsidRPr="00C51EF0">
              <w:rPr>
                <w:noProof/>
              </w:rPr>
              <w:t>81</w:t>
            </w:r>
            <w:r w:rsidRPr="00C51EF0">
              <w:rPr>
                <w:noProof/>
              </w:rPr>
              <w:fldChar w:fldCharType="end"/>
            </w:r>
          </w:hyperlink>
        </w:p>
        <w:p w:rsidR="00C51EF0" w:rsidRPr="00C51EF0" w:rsidRDefault="00C51EF0">
          <w:pPr>
            <w:pStyle w:val="TOC1"/>
            <w:tabs>
              <w:tab w:val="right" w:leader="dot" w:pos="9016"/>
            </w:tabs>
            <w:rPr>
              <w:noProof/>
            </w:rPr>
          </w:pPr>
          <w:hyperlink w:anchor="_Toc241908503" w:history="1">
            <w:r w:rsidRPr="00C51EF0">
              <w:rPr>
                <w:rStyle w:val="Hyperlink"/>
                <w:noProof/>
                <w:color w:val="auto"/>
              </w:rPr>
              <w:t>UNIT ELEVEN: ARCHAEOLOGY AND THE GOSPELS</w:t>
            </w:r>
            <w:r w:rsidRPr="00C51EF0">
              <w:rPr>
                <w:noProof/>
              </w:rPr>
              <w:tab/>
            </w:r>
            <w:r w:rsidRPr="00C51EF0">
              <w:rPr>
                <w:noProof/>
              </w:rPr>
              <w:fldChar w:fldCharType="begin"/>
            </w:r>
            <w:r w:rsidRPr="00C51EF0">
              <w:rPr>
                <w:noProof/>
              </w:rPr>
              <w:instrText xml:space="preserve"> PAGEREF _Toc241908503 \h </w:instrText>
            </w:r>
            <w:r w:rsidRPr="00C51EF0">
              <w:rPr>
                <w:noProof/>
              </w:rPr>
            </w:r>
            <w:r w:rsidRPr="00C51EF0">
              <w:rPr>
                <w:noProof/>
              </w:rPr>
              <w:fldChar w:fldCharType="separate"/>
            </w:r>
            <w:r w:rsidRPr="00C51EF0">
              <w:rPr>
                <w:noProof/>
              </w:rPr>
              <w:t>82</w:t>
            </w:r>
            <w:r w:rsidRPr="00C51EF0">
              <w:rPr>
                <w:noProof/>
              </w:rPr>
              <w:fldChar w:fldCharType="end"/>
            </w:r>
          </w:hyperlink>
        </w:p>
        <w:p w:rsidR="00C51EF0" w:rsidRPr="00C51EF0" w:rsidRDefault="00C51EF0">
          <w:pPr>
            <w:pStyle w:val="TOC2"/>
            <w:tabs>
              <w:tab w:val="right" w:leader="dot" w:pos="9016"/>
            </w:tabs>
            <w:rPr>
              <w:noProof/>
            </w:rPr>
          </w:pPr>
          <w:hyperlink w:anchor="_Toc241908504" w:history="1">
            <w:r w:rsidRPr="00C51EF0">
              <w:rPr>
                <w:rStyle w:val="Hyperlink"/>
                <w:noProof/>
                <w:color w:val="auto"/>
              </w:rPr>
              <w:t>11.1 Introduction</w:t>
            </w:r>
            <w:r w:rsidRPr="00C51EF0">
              <w:rPr>
                <w:noProof/>
              </w:rPr>
              <w:tab/>
            </w:r>
            <w:r w:rsidRPr="00C51EF0">
              <w:rPr>
                <w:noProof/>
              </w:rPr>
              <w:fldChar w:fldCharType="begin"/>
            </w:r>
            <w:r w:rsidRPr="00C51EF0">
              <w:rPr>
                <w:noProof/>
              </w:rPr>
              <w:instrText xml:space="preserve"> PAGEREF _Toc241908504 \h </w:instrText>
            </w:r>
            <w:r w:rsidRPr="00C51EF0">
              <w:rPr>
                <w:noProof/>
              </w:rPr>
            </w:r>
            <w:r w:rsidRPr="00C51EF0">
              <w:rPr>
                <w:noProof/>
              </w:rPr>
              <w:fldChar w:fldCharType="separate"/>
            </w:r>
            <w:r w:rsidRPr="00C51EF0">
              <w:rPr>
                <w:noProof/>
              </w:rPr>
              <w:t>82</w:t>
            </w:r>
            <w:r w:rsidRPr="00C51EF0">
              <w:rPr>
                <w:noProof/>
              </w:rPr>
              <w:fldChar w:fldCharType="end"/>
            </w:r>
          </w:hyperlink>
        </w:p>
        <w:p w:rsidR="00C51EF0" w:rsidRPr="00C51EF0" w:rsidRDefault="00C51EF0">
          <w:pPr>
            <w:pStyle w:val="TOC2"/>
            <w:tabs>
              <w:tab w:val="right" w:leader="dot" w:pos="9016"/>
            </w:tabs>
            <w:rPr>
              <w:noProof/>
            </w:rPr>
          </w:pPr>
          <w:hyperlink w:anchor="_Toc241908505" w:history="1">
            <w:r w:rsidRPr="00C51EF0">
              <w:rPr>
                <w:rStyle w:val="Hyperlink"/>
                <w:noProof/>
                <w:color w:val="auto"/>
              </w:rPr>
              <w:t>11.2 Learning Objectives</w:t>
            </w:r>
            <w:r w:rsidRPr="00C51EF0">
              <w:rPr>
                <w:noProof/>
              </w:rPr>
              <w:tab/>
            </w:r>
            <w:r w:rsidRPr="00C51EF0">
              <w:rPr>
                <w:noProof/>
              </w:rPr>
              <w:fldChar w:fldCharType="begin"/>
            </w:r>
            <w:r w:rsidRPr="00C51EF0">
              <w:rPr>
                <w:noProof/>
              </w:rPr>
              <w:instrText xml:space="preserve"> PAGEREF _Toc241908505 \h </w:instrText>
            </w:r>
            <w:r w:rsidRPr="00C51EF0">
              <w:rPr>
                <w:noProof/>
              </w:rPr>
            </w:r>
            <w:r w:rsidRPr="00C51EF0">
              <w:rPr>
                <w:noProof/>
              </w:rPr>
              <w:fldChar w:fldCharType="separate"/>
            </w:r>
            <w:r w:rsidRPr="00C51EF0">
              <w:rPr>
                <w:noProof/>
              </w:rPr>
              <w:t>82</w:t>
            </w:r>
            <w:r w:rsidRPr="00C51EF0">
              <w:rPr>
                <w:noProof/>
              </w:rPr>
              <w:fldChar w:fldCharType="end"/>
            </w:r>
          </w:hyperlink>
        </w:p>
        <w:p w:rsidR="00C51EF0" w:rsidRPr="00C51EF0" w:rsidRDefault="00C51EF0">
          <w:pPr>
            <w:pStyle w:val="TOC2"/>
            <w:tabs>
              <w:tab w:val="right" w:leader="dot" w:pos="9016"/>
            </w:tabs>
            <w:rPr>
              <w:noProof/>
            </w:rPr>
          </w:pPr>
          <w:hyperlink w:anchor="_Toc241908506" w:history="1">
            <w:r w:rsidRPr="00C51EF0">
              <w:rPr>
                <w:rStyle w:val="Hyperlink"/>
                <w:noProof/>
                <w:color w:val="auto"/>
              </w:rPr>
              <w:t>11.3 Jesus and Archaeology</w:t>
            </w:r>
            <w:r w:rsidRPr="00C51EF0">
              <w:rPr>
                <w:noProof/>
              </w:rPr>
              <w:tab/>
            </w:r>
            <w:r w:rsidRPr="00C51EF0">
              <w:rPr>
                <w:noProof/>
              </w:rPr>
              <w:fldChar w:fldCharType="begin"/>
            </w:r>
            <w:r w:rsidRPr="00C51EF0">
              <w:rPr>
                <w:noProof/>
              </w:rPr>
              <w:instrText xml:space="preserve"> PAGEREF _Toc241908506 \h </w:instrText>
            </w:r>
            <w:r w:rsidRPr="00C51EF0">
              <w:rPr>
                <w:noProof/>
              </w:rPr>
            </w:r>
            <w:r w:rsidRPr="00C51EF0">
              <w:rPr>
                <w:noProof/>
              </w:rPr>
              <w:fldChar w:fldCharType="separate"/>
            </w:r>
            <w:r w:rsidRPr="00C51EF0">
              <w:rPr>
                <w:noProof/>
              </w:rPr>
              <w:t>82</w:t>
            </w:r>
            <w:r w:rsidRPr="00C51EF0">
              <w:rPr>
                <w:noProof/>
              </w:rPr>
              <w:fldChar w:fldCharType="end"/>
            </w:r>
          </w:hyperlink>
        </w:p>
        <w:p w:rsidR="00C51EF0" w:rsidRPr="00C51EF0" w:rsidRDefault="00C51EF0">
          <w:pPr>
            <w:pStyle w:val="TOC2"/>
            <w:tabs>
              <w:tab w:val="right" w:leader="dot" w:pos="9016"/>
            </w:tabs>
            <w:rPr>
              <w:noProof/>
            </w:rPr>
          </w:pPr>
          <w:hyperlink w:anchor="_Toc241908507" w:history="1">
            <w:r w:rsidRPr="00C51EF0">
              <w:rPr>
                <w:rStyle w:val="Hyperlink"/>
                <w:noProof/>
                <w:color w:val="auto"/>
              </w:rPr>
              <w:t>11.4 Galilee in the Time of Jesus</w:t>
            </w:r>
            <w:r w:rsidRPr="00C51EF0">
              <w:rPr>
                <w:noProof/>
              </w:rPr>
              <w:tab/>
            </w:r>
            <w:r w:rsidRPr="00C51EF0">
              <w:rPr>
                <w:noProof/>
              </w:rPr>
              <w:fldChar w:fldCharType="begin"/>
            </w:r>
            <w:r w:rsidRPr="00C51EF0">
              <w:rPr>
                <w:noProof/>
              </w:rPr>
              <w:instrText xml:space="preserve"> PAGEREF _Toc241908507 \h </w:instrText>
            </w:r>
            <w:r w:rsidRPr="00C51EF0">
              <w:rPr>
                <w:noProof/>
              </w:rPr>
            </w:r>
            <w:r w:rsidRPr="00C51EF0">
              <w:rPr>
                <w:noProof/>
              </w:rPr>
              <w:fldChar w:fldCharType="separate"/>
            </w:r>
            <w:r w:rsidRPr="00C51EF0">
              <w:rPr>
                <w:noProof/>
              </w:rPr>
              <w:t>83</w:t>
            </w:r>
            <w:r w:rsidRPr="00C51EF0">
              <w:rPr>
                <w:noProof/>
              </w:rPr>
              <w:fldChar w:fldCharType="end"/>
            </w:r>
          </w:hyperlink>
        </w:p>
        <w:p w:rsidR="00C51EF0" w:rsidRPr="00C51EF0" w:rsidRDefault="00C51EF0">
          <w:pPr>
            <w:pStyle w:val="TOC2"/>
            <w:tabs>
              <w:tab w:val="right" w:leader="dot" w:pos="9016"/>
            </w:tabs>
            <w:rPr>
              <w:noProof/>
            </w:rPr>
          </w:pPr>
          <w:hyperlink w:anchor="_Toc241908508" w:history="1">
            <w:r w:rsidRPr="00C51EF0">
              <w:rPr>
                <w:rStyle w:val="Hyperlink"/>
                <w:noProof/>
                <w:color w:val="auto"/>
              </w:rPr>
              <w:t>11.5 Jerusalem in the Time of Jesus</w:t>
            </w:r>
            <w:r w:rsidRPr="00C51EF0">
              <w:rPr>
                <w:noProof/>
              </w:rPr>
              <w:tab/>
            </w:r>
            <w:r w:rsidRPr="00C51EF0">
              <w:rPr>
                <w:noProof/>
              </w:rPr>
              <w:fldChar w:fldCharType="begin"/>
            </w:r>
            <w:r w:rsidRPr="00C51EF0">
              <w:rPr>
                <w:noProof/>
              </w:rPr>
              <w:instrText xml:space="preserve"> PAGEREF _Toc241908508 \h </w:instrText>
            </w:r>
            <w:r w:rsidRPr="00C51EF0">
              <w:rPr>
                <w:noProof/>
              </w:rPr>
            </w:r>
            <w:r w:rsidRPr="00C51EF0">
              <w:rPr>
                <w:noProof/>
              </w:rPr>
              <w:fldChar w:fldCharType="separate"/>
            </w:r>
            <w:r w:rsidRPr="00C51EF0">
              <w:rPr>
                <w:noProof/>
              </w:rPr>
              <w:t>85</w:t>
            </w:r>
            <w:r w:rsidRPr="00C51EF0">
              <w:rPr>
                <w:noProof/>
              </w:rPr>
              <w:fldChar w:fldCharType="end"/>
            </w:r>
          </w:hyperlink>
        </w:p>
        <w:p w:rsidR="00C51EF0" w:rsidRPr="00C51EF0" w:rsidRDefault="00C51EF0">
          <w:pPr>
            <w:pStyle w:val="TOC2"/>
            <w:tabs>
              <w:tab w:val="right" w:leader="dot" w:pos="9016"/>
            </w:tabs>
            <w:rPr>
              <w:noProof/>
            </w:rPr>
          </w:pPr>
          <w:hyperlink w:anchor="_Toc241908509" w:history="1">
            <w:r w:rsidRPr="00C51EF0">
              <w:rPr>
                <w:rStyle w:val="Hyperlink"/>
                <w:noProof/>
                <w:color w:val="auto"/>
              </w:rPr>
              <w:t>11.6 People in the Accounts of Jesus' Death</w:t>
            </w:r>
            <w:r w:rsidRPr="00C51EF0">
              <w:rPr>
                <w:noProof/>
              </w:rPr>
              <w:tab/>
            </w:r>
            <w:r w:rsidRPr="00C51EF0">
              <w:rPr>
                <w:noProof/>
              </w:rPr>
              <w:fldChar w:fldCharType="begin"/>
            </w:r>
            <w:r w:rsidRPr="00C51EF0">
              <w:rPr>
                <w:noProof/>
              </w:rPr>
              <w:instrText xml:space="preserve"> PAGEREF _Toc241908509 \h </w:instrText>
            </w:r>
            <w:r w:rsidRPr="00C51EF0">
              <w:rPr>
                <w:noProof/>
              </w:rPr>
            </w:r>
            <w:r w:rsidRPr="00C51EF0">
              <w:rPr>
                <w:noProof/>
              </w:rPr>
              <w:fldChar w:fldCharType="separate"/>
            </w:r>
            <w:r w:rsidRPr="00C51EF0">
              <w:rPr>
                <w:noProof/>
              </w:rPr>
              <w:t>86</w:t>
            </w:r>
            <w:r w:rsidRPr="00C51EF0">
              <w:rPr>
                <w:noProof/>
              </w:rPr>
              <w:fldChar w:fldCharType="end"/>
            </w:r>
          </w:hyperlink>
        </w:p>
        <w:p w:rsidR="00C51EF0" w:rsidRPr="00C51EF0" w:rsidRDefault="00C51EF0">
          <w:pPr>
            <w:pStyle w:val="TOC2"/>
            <w:tabs>
              <w:tab w:val="right" w:leader="dot" w:pos="9016"/>
            </w:tabs>
            <w:rPr>
              <w:noProof/>
            </w:rPr>
          </w:pPr>
          <w:hyperlink w:anchor="_Toc241908510" w:history="1">
            <w:r w:rsidRPr="00C51EF0">
              <w:rPr>
                <w:rStyle w:val="Hyperlink"/>
                <w:noProof/>
                <w:color w:val="auto"/>
              </w:rPr>
              <w:t>11.7 Crucifixion and Burial</w:t>
            </w:r>
            <w:r w:rsidRPr="00C51EF0">
              <w:rPr>
                <w:noProof/>
              </w:rPr>
              <w:tab/>
            </w:r>
            <w:r w:rsidRPr="00C51EF0">
              <w:rPr>
                <w:noProof/>
              </w:rPr>
              <w:fldChar w:fldCharType="begin"/>
            </w:r>
            <w:r w:rsidRPr="00C51EF0">
              <w:rPr>
                <w:noProof/>
              </w:rPr>
              <w:instrText xml:space="preserve"> PAGEREF _Toc241908510 \h </w:instrText>
            </w:r>
            <w:r w:rsidRPr="00C51EF0">
              <w:rPr>
                <w:noProof/>
              </w:rPr>
            </w:r>
            <w:r w:rsidRPr="00C51EF0">
              <w:rPr>
                <w:noProof/>
              </w:rPr>
              <w:fldChar w:fldCharType="separate"/>
            </w:r>
            <w:r w:rsidRPr="00C51EF0">
              <w:rPr>
                <w:noProof/>
              </w:rPr>
              <w:t>87</w:t>
            </w:r>
            <w:r w:rsidRPr="00C51EF0">
              <w:rPr>
                <w:noProof/>
              </w:rPr>
              <w:fldChar w:fldCharType="end"/>
            </w:r>
          </w:hyperlink>
        </w:p>
        <w:p w:rsidR="00C51EF0" w:rsidRPr="00C51EF0" w:rsidRDefault="00C51EF0">
          <w:pPr>
            <w:pStyle w:val="TOC2"/>
            <w:tabs>
              <w:tab w:val="right" w:leader="dot" w:pos="9016"/>
            </w:tabs>
            <w:rPr>
              <w:noProof/>
            </w:rPr>
          </w:pPr>
          <w:hyperlink w:anchor="_Toc241908511" w:history="1">
            <w:r w:rsidRPr="00C51EF0">
              <w:rPr>
                <w:rStyle w:val="Hyperlink"/>
                <w:noProof/>
                <w:color w:val="auto"/>
              </w:rPr>
              <w:t>11.8 Beware of Sensational Claims</w:t>
            </w:r>
            <w:r w:rsidRPr="00C51EF0">
              <w:rPr>
                <w:noProof/>
              </w:rPr>
              <w:tab/>
            </w:r>
            <w:r w:rsidRPr="00C51EF0">
              <w:rPr>
                <w:noProof/>
              </w:rPr>
              <w:fldChar w:fldCharType="begin"/>
            </w:r>
            <w:r w:rsidRPr="00C51EF0">
              <w:rPr>
                <w:noProof/>
              </w:rPr>
              <w:instrText xml:space="preserve"> PAGEREF _Toc241908511 \h </w:instrText>
            </w:r>
            <w:r w:rsidRPr="00C51EF0">
              <w:rPr>
                <w:noProof/>
              </w:rPr>
            </w:r>
            <w:r w:rsidRPr="00C51EF0">
              <w:rPr>
                <w:noProof/>
              </w:rPr>
              <w:fldChar w:fldCharType="separate"/>
            </w:r>
            <w:r w:rsidRPr="00C51EF0">
              <w:rPr>
                <w:noProof/>
              </w:rPr>
              <w:t>88</w:t>
            </w:r>
            <w:r w:rsidRPr="00C51EF0">
              <w:rPr>
                <w:noProof/>
              </w:rPr>
              <w:fldChar w:fldCharType="end"/>
            </w:r>
          </w:hyperlink>
        </w:p>
        <w:p w:rsidR="00C51EF0" w:rsidRPr="00C51EF0" w:rsidRDefault="00C51EF0">
          <w:pPr>
            <w:pStyle w:val="TOC2"/>
            <w:tabs>
              <w:tab w:val="right" w:leader="dot" w:pos="9016"/>
            </w:tabs>
            <w:rPr>
              <w:noProof/>
            </w:rPr>
          </w:pPr>
          <w:hyperlink w:anchor="_Toc241908512" w:history="1">
            <w:r w:rsidRPr="00C51EF0">
              <w:rPr>
                <w:rStyle w:val="Hyperlink"/>
                <w:noProof/>
                <w:color w:val="auto"/>
              </w:rPr>
              <w:t>11.9 Summary</w:t>
            </w:r>
            <w:r w:rsidRPr="00C51EF0">
              <w:rPr>
                <w:noProof/>
              </w:rPr>
              <w:tab/>
            </w:r>
            <w:r w:rsidRPr="00C51EF0">
              <w:rPr>
                <w:noProof/>
              </w:rPr>
              <w:fldChar w:fldCharType="begin"/>
            </w:r>
            <w:r w:rsidRPr="00C51EF0">
              <w:rPr>
                <w:noProof/>
              </w:rPr>
              <w:instrText xml:space="preserve"> PAGEREF _Toc241908512 \h </w:instrText>
            </w:r>
            <w:r w:rsidRPr="00C51EF0">
              <w:rPr>
                <w:noProof/>
              </w:rPr>
            </w:r>
            <w:r w:rsidRPr="00C51EF0">
              <w:rPr>
                <w:noProof/>
              </w:rPr>
              <w:fldChar w:fldCharType="separate"/>
            </w:r>
            <w:r w:rsidRPr="00C51EF0">
              <w:rPr>
                <w:noProof/>
              </w:rPr>
              <w:t>88</w:t>
            </w:r>
            <w:r w:rsidRPr="00C51EF0">
              <w:rPr>
                <w:noProof/>
              </w:rPr>
              <w:fldChar w:fldCharType="end"/>
            </w:r>
          </w:hyperlink>
        </w:p>
        <w:p w:rsidR="00C51EF0" w:rsidRPr="00C51EF0" w:rsidRDefault="00C51EF0">
          <w:pPr>
            <w:pStyle w:val="TOC2"/>
            <w:tabs>
              <w:tab w:val="right" w:leader="dot" w:pos="9016"/>
            </w:tabs>
            <w:rPr>
              <w:noProof/>
            </w:rPr>
          </w:pPr>
          <w:hyperlink w:anchor="_Toc241908513" w:history="1">
            <w:r w:rsidRPr="00C51EF0">
              <w:rPr>
                <w:rStyle w:val="Hyperlink"/>
                <w:noProof/>
                <w:color w:val="auto"/>
              </w:rPr>
              <w:t>11.10 Life Application</w:t>
            </w:r>
            <w:r w:rsidRPr="00C51EF0">
              <w:rPr>
                <w:noProof/>
              </w:rPr>
              <w:tab/>
            </w:r>
            <w:r w:rsidRPr="00C51EF0">
              <w:rPr>
                <w:noProof/>
              </w:rPr>
              <w:fldChar w:fldCharType="begin"/>
            </w:r>
            <w:r w:rsidRPr="00C51EF0">
              <w:rPr>
                <w:noProof/>
              </w:rPr>
              <w:instrText xml:space="preserve"> PAGEREF _Toc241908513 \h </w:instrText>
            </w:r>
            <w:r w:rsidRPr="00C51EF0">
              <w:rPr>
                <w:noProof/>
              </w:rPr>
            </w:r>
            <w:r w:rsidRPr="00C51EF0">
              <w:rPr>
                <w:noProof/>
              </w:rPr>
              <w:fldChar w:fldCharType="separate"/>
            </w:r>
            <w:r w:rsidRPr="00C51EF0">
              <w:rPr>
                <w:noProof/>
              </w:rPr>
              <w:t>89</w:t>
            </w:r>
            <w:r w:rsidRPr="00C51EF0">
              <w:rPr>
                <w:noProof/>
              </w:rPr>
              <w:fldChar w:fldCharType="end"/>
            </w:r>
          </w:hyperlink>
        </w:p>
        <w:p w:rsidR="00C51EF0" w:rsidRPr="00C51EF0" w:rsidRDefault="00C51EF0">
          <w:pPr>
            <w:pStyle w:val="TOC2"/>
            <w:tabs>
              <w:tab w:val="right" w:leader="dot" w:pos="9016"/>
            </w:tabs>
            <w:rPr>
              <w:noProof/>
            </w:rPr>
          </w:pPr>
          <w:hyperlink w:anchor="_Toc241908514" w:history="1">
            <w:r w:rsidRPr="00C51EF0">
              <w:rPr>
                <w:rStyle w:val="Hyperlink"/>
                <w:noProof/>
                <w:color w:val="auto"/>
              </w:rPr>
              <w:t>11.11 Discussion Questions</w:t>
            </w:r>
            <w:r w:rsidRPr="00C51EF0">
              <w:rPr>
                <w:noProof/>
              </w:rPr>
              <w:tab/>
            </w:r>
            <w:r w:rsidRPr="00C51EF0">
              <w:rPr>
                <w:noProof/>
              </w:rPr>
              <w:fldChar w:fldCharType="begin"/>
            </w:r>
            <w:r w:rsidRPr="00C51EF0">
              <w:rPr>
                <w:noProof/>
              </w:rPr>
              <w:instrText xml:space="preserve"> PAGEREF _Toc241908514 \h </w:instrText>
            </w:r>
            <w:r w:rsidRPr="00C51EF0">
              <w:rPr>
                <w:noProof/>
              </w:rPr>
            </w:r>
            <w:r w:rsidRPr="00C51EF0">
              <w:rPr>
                <w:noProof/>
              </w:rPr>
              <w:fldChar w:fldCharType="separate"/>
            </w:r>
            <w:r w:rsidRPr="00C51EF0">
              <w:rPr>
                <w:noProof/>
              </w:rPr>
              <w:t>89</w:t>
            </w:r>
            <w:r w:rsidRPr="00C51EF0">
              <w:rPr>
                <w:noProof/>
              </w:rPr>
              <w:fldChar w:fldCharType="end"/>
            </w:r>
          </w:hyperlink>
        </w:p>
        <w:p w:rsidR="00C51EF0" w:rsidRPr="00C51EF0" w:rsidRDefault="00C51EF0">
          <w:pPr>
            <w:pStyle w:val="TOC2"/>
            <w:tabs>
              <w:tab w:val="right" w:leader="dot" w:pos="9016"/>
            </w:tabs>
            <w:rPr>
              <w:noProof/>
            </w:rPr>
          </w:pPr>
          <w:hyperlink w:anchor="_Toc241908515" w:history="1">
            <w:r w:rsidRPr="00C51EF0">
              <w:rPr>
                <w:rStyle w:val="Hyperlink"/>
                <w:noProof/>
                <w:color w:val="auto"/>
              </w:rPr>
              <w:t>11.12 Further Reading</w:t>
            </w:r>
            <w:r w:rsidRPr="00C51EF0">
              <w:rPr>
                <w:noProof/>
              </w:rPr>
              <w:tab/>
            </w:r>
            <w:r w:rsidRPr="00C51EF0">
              <w:rPr>
                <w:noProof/>
              </w:rPr>
              <w:fldChar w:fldCharType="begin"/>
            </w:r>
            <w:r w:rsidRPr="00C51EF0">
              <w:rPr>
                <w:noProof/>
              </w:rPr>
              <w:instrText xml:space="preserve"> PAGEREF _Toc241908515 \h </w:instrText>
            </w:r>
            <w:r w:rsidRPr="00C51EF0">
              <w:rPr>
                <w:noProof/>
              </w:rPr>
            </w:r>
            <w:r w:rsidRPr="00C51EF0">
              <w:rPr>
                <w:noProof/>
              </w:rPr>
              <w:fldChar w:fldCharType="separate"/>
            </w:r>
            <w:r w:rsidRPr="00C51EF0">
              <w:rPr>
                <w:noProof/>
              </w:rPr>
              <w:t>90</w:t>
            </w:r>
            <w:r w:rsidRPr="00C51EF0">
              <w:rPr>
                <w:noProof/>
              </w:rPr>
              <w:fldChar w:fldCharType="end"/>
            </w:r>
          </w:hyperlink>
        </w:p>
        <w:p w:rsidR="00C51EF0" w:rsidRPr="00C51EF0" w:rsidRDefault="00C51EF0">
          <w:pPr>
            <w:pStyle w:val="TOC1"/>
            <w:tabs>
              <w:tab w:val="right" w:leader="dot" w:pos="9016"/>
            </w:tabs>
            <w:rPr>
              <w:noProof/>
            </w:rPr>
          </w:pPr>
          <w:hyperlink w:anchor="_Toc241908516" w:history="1">
            <w:r w:rsidRPr="00C51EF0">
              <w:rPr>
                <w:rStyle w:val="Hyperlink"/>
                <w:noProof/>
                <w:color w:val="auto"/>
              </w:rPr>
              <w:t>UNIT TWELVE: ARCHAEOLOGY, ACTS AND THE EARLY CHURCH</w:t>
            </w:r>
            <w:r w:rsidRPr="00C51EF0">
              <w:rPr>
                <w:noProof/>
              </w:rPr>
              <w:tab/>
            </w:r>
            <w:r w:rsidRPr="00C51EF0">
              <w:rPr>
                <w:noProof/>
              </w:rPr>
              <w:fldChar w:fldCharType="begin"/>
            </w:r>
            <w:r w:rsidRPr="00C51EF0">
              <w:rPr>
                <w:noProof/>
              </w:rPr>
              <w:instrText xml:space="preserve"> PAGEREF _Toc241908516 \h </w:instrText>
            </w:r>
            <w:r w:rsidRPr="00C51EF0">
              <w:rPr>
                <w:noProof/>
              </w:rPr>
            </w:r>
            <w:r w:rsidRPr="00C51EF0">
              <w:rPr>
                <w:noProof/>
              </w:rPr>
              <w:fldChar w:fldCharType="separate"/>
            </w:r>
            <w:r w:rsidRPr="00C51EF0">
              <w:rPr>
                <w:noProof/>
              </w:rPr>
              <w:t>91</w:t>
            </w:r>
            <w:r w:rsidRPr="00C51EF0">
              <w:rPr>
                <w:noProof/>
              </w:rPr>
              <w:fldChar w:fldCharType="end"/>
            </w:r>
          </w:hyperlink>
        </w:p>
        <w:p w:rsidR="00C51EF0" w:rsidRPr="00C51EF0" w:rsidRDefault="00C51EF0">
          <w:pPr>
            <w:pStyle w:val="TOC2"/>
            <w:tabs>
              <w:tab w:val="right" w:leader="dot" w:pos="9016"/>
            </w:tabs>
            <w:rPr>
              <w:noProof/>
            </w:rPr>
          </w:pPr>
          <w:hyperlink w:anchor="_Toc241908517" w:history="1">
            <w:r w:rsidRPr="00C51EF0">
              <w:rPr>
                <w:rStyle w:val="Hyperlink"/>
                <w:noProof/>
                <w:color w:val="auto"/>
              </w:rPr>
              <w:t>12.1 Introduction</w:t>
            </w:r>
            <w:r w:rsidRPr="00C51EF0">
              <w:rPr>
                <w:noProof/>
              </w:rPr>
              <w:tab/>
            </w:r>
            <w:r w:rsidRPr="00C51EF0">
              <w:rPr>
                <w:noProof/>
              </w:rPr>
              <w:fldChar w:fldCharType="begin"/>
            </w:r>
            <w:r w:rsidRPr="00C51EF0">
              <w:rPr>
                <w:noProof/>
              </w:rPr>
              <w:instrText xml:space="preserve"> PAGEREF _Toc241908517 \h </w:instrText>
            </w:r>
            <w:r w:rsidRPr="00C51EF0">
              <w:rPr>
                <w:noProof/>
              </w:rPr>
            </w:r>
            <w:r w:rsidRPr="00C51EF0">
              <w:rPr>
                <w:noProof/>
              </w:rPr>
              <w:fldChar w:fldCharType="separate"/>
            </w:r>
            <w:r w:rsidRPr="00C51EF0">
              <w:rPr>
                <w:noProof/>
              </w:rPr>
              <w:t>91</w:t>
            </w:r>
            <w:r w:rsidRPr="00C51EF0">
              <w:rPr>
                <w:noProof/>
              </w:rPr>
              <w:fldChar w:fldCharType="end"/>
            </w:r>
          </w:hyperlink>
        </w:p>
        <w:p w:rsidR="00C51EF0" w:rsidRPr="00C51EF0" w:rsidRDefault="00C51EF0">
          <w:pPr>
            <w:pStyle w:val="TOC2"/>
            <w:tabs>
              <w:tab w:val="right" w:leader="dot" w:pos="9016"/>
            </w:tabs>
            <w:rPr>
              <w:noProof/>
            </w:rPr>
          </w:pPr>
          <w:hyperlink w:anchor="_Toc241908518" w:history="1">
            <w:r w:rsidRPr="00C51EF0">
              <w:rPr>
                <w:rStyle w:val="Hyperlink"/>
                <w:noProof/>
                <w:color w:val="auto"/>
              </w:rPr>
              <w:t>12.2 Learning Objectives</w:t>
            </w:r>
            <w:r w:rsidRPr="00C51EF0">
              <w:rPr>
                <w:noProof/>
              </w:rPr>
              <w:tab/>
            </w:r>
            <w:r w:rsidRPr="00C51EF0">
              <w:rPr>
                <w:noProof/>
              </w:rPr>
              <w:fldChar w:fldCharType="begin"/>
            </w:r>
            <w:r w:rsidRPr="00C51EF0">
              <w:rPr>
                <w:noProof/>
              </w:rPr>
              <w:instrText xml:space="preserve"> PAGEREF _Toc241908518 \h </w:instrText>
            </w:r>
            <w:r w:rsidRPr="00C51EF0">
              <w:rPr>
                <w:noProof/>
              </w:rPr>
            </w:r>
            <w:r w:rsidRPr="00C51EF0">
              <w:rPr>
                <w:noProof/>
              </w:rPr>
              <w:fldChar w:fldCharType="separate"/>
            </w:r>
            <w:r w:rsidRPr="00C51EF0">
              <w:rPr>
                <w:noProof/>
              </w:rPr>
              <w:t>91</w:t>
            </w:r>
            <w:r w:rsidRPr="00C51EF0">
              <w:rPr>
                <w:noProof/>
              </w:rPr>
              <w:fldChar w:fldCharType="end"/>
            </w:r>
          </w:hyperlink>
        </w:p>
        <w:p w:rsidR="00C51EF0" w:rsidRPr="00C51EF0" w:rsidRDefault="00C51EF0">
          <w:pPr>
            <w:pStyle w:val="TOC2"/>
            <w:tabs>
              <w:tab w:val="right" w:leader="dot" w:pos="9016"/>
            </w:tabs>
            <w:rPr>
              <w:noProof/>
            </w:rPr>
          </w:pPr>
          <w:hyperlink w:anchor="_Toc241908519" w:history="1">
            <w:r w:rsidRPr="00C51EF0">
              <w:rPr>
                <w:rStyle w:val="Hyperlink"/>
                <w:noProof/>
                <w:color w:val="auto"/>
              </w:rPr>
              <w:t>12.3 Luke as a Historian</w:t>
            </w:r>
            <w:r w:rsidRPr="00C51EF0">
              <w:rPr>
                <w:noProof/>
              </w:rPr>
              <w:tab/>
            </w:r>
            <w:r w:rsidRPr="00C51EF0">
              <w:rPr>
                <w:noProof/>
              </w:rPr>
              <w:fldChar w:fldCharType="begin"/>
            </w:r>
            <w:r w:rsidRPr="00C51EF0">
              <w:rPr>
                <w:noProof/>
              </w:rPr>
              <w:instrText xml:space="preserve"> PAGEREF _Toc241908519 \h </w:instrText>
            </w:r>
            <w:r w:rsidRPr="00C51EF0">
              <w:rPr>
                <w:noProof/>
              </w:rPr>
            </w:r>
            <w:r w:rsidRPr="00C51EF0">
              <w:rPr>
                <w:noProof/>
              </w:rPr>
              <w:fldChar w:fldCharType="separate"/>
            </w:r>
            <w:r w:rsidRPr="00C51EF0">
              <w:rPr>
                <w:noProof/>
              </w:rPr>
              <w:t>91</w:t>
            </w:r>
            <w:r w:rsidRPr="00C51EF0">
              <w:rPr>
                <w:noProof/>
              </w:rPr>
              <w:fldChar w:fldCharType="end"/>
            </w:r>
          </w:hyperlink>
        </w:p>
        <w:p w:rsidR="00C51EF0" w:rsidRPr="00C51EF0" w:rsidRDefault="00C51EF0">
          <w:pPr>
            <w:pStyle w:val="TOC2"/>
            <w:tabs>
              <w:tab w:val="right" w:leader="dot" w:pos="9016"/>
            </w:tabs>
            <w:rPr>
              <w:noProof/>
            </w:rPr>
          </w:pPr>
          <w:hyperlink w:anchor="_Toc241908520" w:history="1">
            <w:r w:rsidRPr="00C51EF0">
              <w:rPr>
                <w:rStyle w:val="Hyperlink"/>
                <w:noProof/>
                <w:color w:val="auto"/>
              </w:rPr>
              <w:t>12.4 Officials and Titles in Acts</w:t>
            </w:r>
            <w:r w:rsidRPr="00C51EF0">
              <w:rPr>
                <w:noProof/>
              </w:rPr>
              <w:tab/>
            </w:r>
            <w:r w:rsidRPr="00C51EF0">
              <w:rPr>
                <w:noProof/>
              </w:rPr>
              <w:fldChar w:fldCharType="begin"/>
            </w:r>
            <w:r w:rsidRPr="00C51EF0">
              <w:rPr>
                <w:noProof/>
              </w:rPr>
              <w:instrText xml:space="preserve"> PAGEREF _Toc241908520 \h </w:instrText>
            </w:r>
            <w:r w:rsidRPr="00C51EF0">
              <w:rPr>
                <w:noProof/>
              </w:rPr>
            </w:r>
            <w:r w:rsidRPr="00C51EF0">
              <w:rPr>
                <w:noProof/>
              </w:rPr>
              <w:fldChar w:fldCharType="separate"/>
            </w:r>
            <w:r w:rsidRPr="00C51EF0">
              <w:rPr>
                <w:noProof/>
              </w:rPr>
              <w:t>92</w:t>
            </w:r>
            <w:r w:rsidRPr="00C51EF0">
              <w:rPr>
                <w:noProof/>
              </w:rPr>
              <w:fldChar w:fldCharType="end"/>
            </w:r>
          </w:hyperlink>
        </w:p>
        <w:p w:rsidR="00C51EF0" w:rsidRPr="00C51EF0" w:rsidRDefault="00C51EF0">
          <w:pPr>
            <w:pStyle w:val="TOC2"/>
            <w:tabs>
              <w:tab w:val="right" w:leader="dot" w:pos="9016"/>
            </w:tabs>
            <w:rPr>
              <w:noProof/>
            </w:rPr>
          </w:pPr>
          <w:hyperlink w:anchor="_Toc241908521" w:history="1">
            <w:r w:rsidRPr="00C51EF0">
              <w:rPr>
                <w:rStyle w:val="Hyperlink"/>
                <w:noProof/>
                <w:color w:val="auto"/>
              </w:rPr>
              <w:t>12.5 The Cities of Paul's Mission</w:t>
            </w:r>
            <w:r w:rsidRPr="00C51EF0">
              <w:rPr>
                <w:noProof/>
              </w:rPr>
              <w:tab/>
            </w:r>
            <w:r w:rsidRPr="00C51EF0">
              <w:rPr>
                <w:noProof/>
              </w:rPr>
              <w:fldChar w:fldCharType="begin"/>
            </w:r>
            <w:r w:rsidRPr="00C51EF0">
              <w:rPr>
                <w:noProof/>
              </w:rPr>
              <w:instrText xml:space="preserve"> PAGEREF _Toc241908521 \h </w:instrText>
            </w:r>
            <w:r w:rsidRPr="00C51EF0">
              <w:rPr>
                <w:noProof/>
              </w:rPr>
            </w:r>
            <w:r w:rsidRPr="00C51EF0">
              <w:rPr>
                <w:noProof/>
              </w:rPr>
              <w:fldChar w:fldCharType="separate"/>
            </w:r>
            <w:r w:rsidRPr="00C51EF0">
              <w:rPr>
                <w:noProof/>
              </w:rPr>
              <w:t>93</w:t>
            </w:r>
            <w:r w:rsidRPr="00C51EF0">
              <w:rPr>
                <w:noProof/>
              </w:rPr>
              <w:fldChar w:fldCharType="end"/>
            </w:r>
          </w:hyperlink>
        </w:p>
        <w:p w:rsidR="00C51EF0" w:rsidRPr="00C51EF0" w:rsidRDefault="00C51EF0">
          <w:pPr>
            <w:pStyle w:val="TOC2"/>
            <w:tabs>
              <w:tab w:val="right" w:leader="dot" w:pos="9016"/>
            </w:tabs>
            <w:rPr>
              <w:noProof/>
            </w:rPr>
          </w:pPr>
          <w:hyperlink w:anchor="_Toc241908522" w:history="1">
            <w:r w:rsidRPr="00C51EF0">
              <w:rPr>
                <w:rStyle w:val="Hyperlink"/>
                <w:noProof/>
                <w:color w:val="auto"/>
              </w:rPr>
              <w:t>12.6 The Seven Churches of Revelation</w:t>
            </w:r>
            <w:r w:rsidRPr="00C51EF0">
              <w:rPr>
                <w:noProof/>
              </w:rPr>
              <w:tab/>
            </w:r>
            <w:r w:rsidRPr="00C51EF0">
              <w:rPr>
                <w:noProof/>
              </w:rPr>
              <w:fldChar w:fldCharType="begin"/>
            </w:r>
            <w:r w:rsidRPr="00C51EF0">
              <w:rPr>
                <w:noProof/>
              </w:rPr>
              <w:instrText xml:space="preserve"> PAGEREF _Toc241908522 \h </w:instrText>
            </w:r>
            <w:r w:rsidRPr="00C51EF0">
              <w:rPr>
                <w:noProof/>
              </w:rPr>
            </w:r>
            <w:r w:rsidRPr="00C51EF0">
              <w:rPr>
                <w:noProof/>
              </w:rPr>
              <w:fldChar w:fldCharType="separate"/>
            </w:r>
            <w:r w:rsidRPr="00C51EF0">
              <w:rPr>
                <w:noProof/>
              </w:rPr>
              <w:t>95</w:t>
            </w:r>
            <w:r w:rsidRPr="00C51EF0">
              <w:rPr>
                <w:noProof/>
              </w:rPr>
              <w:fldChar w:fldCharType="end"/>
            </w:r>
          </w:hyperlink>
        </w:p>
        <w:p w:rsidR="00C51EF0" w:rsidRPr="00C51EF0" w:rsidRDefault="00C51EF0">
          <w:pPr>
            <w:pStyle w:val="TOC2"/>
            <w:tabs>
              <w:tab w:val="right" w:leader="dot" w:pos="9016"/>
            </w:tabs>
            <w:rPr>
              <w:noProof/>
            </w:rPr>
          </w:pPr>
          <w:hyperlink w:anchor="_Toc241908523" w:history="1">
            <w:r w:rsidRPr="00C51EF0">
              <w:rPr>
                <w:rStyle w:val="Hyperlink"/>
                <w:noProof/>
                <w:color w:val="auto"/>
              </w:rPr>
              <w:t>12.7 Physical Remains of Early Christianity</w:t>
            </w:r>
            <w:r w:rsidRPr="00C51EF0">
              <w:rPr>
                <w:noProof/>
              </w:rPr>
              <w:tab/>
            </w:r>
            <w:r w:rsidRPr="00C51EF0">
              <w:rPr>
                <w:noProof/>
              </w:rPr>
              <w:fldChar w:fldCharType="begin"/>
            </w:r>
            <w:r w:rsidRPr="00C51EF0">
              <w:rPr>
                <w:noProof/>
              </w:rPr>
              <w:instrText xml:space="preserve"> PAGEREF _Toc241908523 \h </w:instrText>
            </w:r>
            <w:r w:rsidRPr="00C51EF0">
              <w:rPr>
                <w:noProof/>
              </w:rPr>
            </w:r>
            <w:r w:rsidRPr="00C51EF0">
              <w:rPr>
                <w:noProof/>
              </w:rPr>
              <w:fldChar w:fldCharType="separate"/>
            </w:r>
            <w:r w:rsidRPr="00C51EF0">
              <w:rPr>
                <w:noProof/>
              </w:rPr>
              <w:t>96</w:t>
            </w:r>
            <w:r w:rsidRPr="00C51EF0">
              <w:rPr>
                <w:noProof/>
              </w:rPr>
              <w:fldChar w:fldCharType="end"/>
            </w:r>
          </w:hyperlink>
        </w:p>
        <w:p w:rsidR="00C51EF0" w:rsidRPr="00C51EF0" w:rsidRDefault="00C51EF0">
          <w:pPr>
            <w:pStyle w:val="TOC2"/>
            <w:tabs>
              <w:tab w:val="right" w:leader="dot" w:pos="9016"/>
            </w:tabs>
            <w:rPr>
              <w:noProof/>
            </w:rPr>
          </w:pPr>
          <w:hyperlink w:anchor="_Toc241908524" w:history="1">
            <w:r w:rsidRPr="00C51EF0">
              <w:rPr>
                <w:rStyle w:val="Hyperlink"/>
                <w:noProof/>
                <w:color w:val="auto"/>
              </w:rPr>
              <w:t>12.8 Summary</w:t>
            </w:r>
            <w:r w:rsidRPr="00C51EF0">
              <w:rPr>
                <w:noProof/>
              </w:rPr>
              <w:tab/>
            </w:r>
            <w:r w:rsidRPr="00C51EF0">
              <w:rPr>
                <w:noProof/>
              </w:rPr>
              <w:fldChar w:fldCharType="begin"/>
            </w:r>
            <w:r w:rsidRPr="00C51EF0">
              <w:rPr>
                <w:noProof/>
              </w:rPr>
              <w:instrText xml:space="preserve"> PAGEREF _Toc241908524 \h </w:instrText>
            </w:r>
            <w:r w:rsidRPr="00C51EF0">
              <w:rPr>
                <w:noProof/>
              </w:rPr>
            </w:r>
            <w:r w:rsidRPr="00C51EF0">
              <w:rPr>
                <w:noProof/>
              </w:rPr>
              <w:fldChar w:fldCharType="separate"/>
            </w:r>
            <w:r w:rsidRPr="00C51EF0">
              <w:rPr>
                <w:noProof/>
              </w:rPr>
              <w:t>97</w:t>
            </w:r>
            <w:r w:rsidRPr="00C51EF0">
              <w:rPr>
                <w:noProof/>
              </w:rPr>
              <w:fldChar w:fldCharType="end"/>
            </w:r>
          </w:hyperlink>
        </w:p>
        <w:p w:rsidR="00C51EF0" w:rsidRPr="00C51EF0" w:rsidRDefault="00C51EF0">
          <w:pPr>
            <w:pStyle w:val="TOC2"/>
            <w:tabs>
              <w:tab w:val="right" w:leader="dot" w:pos="9016"/>
            </w:tabs>
            <w:rPr>
              <w:noProof/>
            </w:rPr>
          </w:pPr>
          <w:hyperlink w:anchor="_Toc241908525" w:history="1">
            <w:r w:rsidRPr="00C51EF0">
              <w:rPr>
                <w:rStyle w:val="Hyperlink"/>
                <w:noProof/>
                <w:color w:val="auto"/>
              </w:rPr>
              <w:t>12.9 Life Application</w:t>
            </w:r>
            <w:r w:rsidRPr="00C51EF0">
              <w:rPr>
                <w:noProof/>
              </w:rPr>
              <w:tab/>
            </w:r>
            <w:r w:rsidRPr="00C51EF0">
              <w:rPr>
                <w:noProof/>
              </w:rPr>
              <w:fldChar w:fldCharType="begin"/>
            </w:r>
            <w:r w:rsidRPr="00C51EF0">
              <w:rPr>
                <w:noProof/>
              </w:rPr>
              <w:instrText xml:space="preserve"> PAGEREF _Toc241908525 \h </w:instrText>
            </w:r>
            <w:r w:rsidRPr="00C51EF0">
              <w:rPr>
                <w:noProof/>
              </w:rPr>
            </w:r>
            <w:r w:rsidRPr="00C51EF0">
              <w:rPr>
                <w:noProof/>
              </w:rPr>
              <w:fldChar w:fldCharType="separate"/>
            </w:r>
            <w:r w:rsidRPr="00C51EF0">
              <w:rPr>
                <w:noProof/>
              </w:rPr>
              <w:t>97</w:t>
            </w:r>
            <w:r w:rsidRPr="00C51EF0">
              <w:rPr>
                <w:noProof/>
              </w:rPr>
              <w:fldChar w:fldCharType="end"/>
            </w:r>
          </w:hyperlink>
        </w:p>
        <w:p w:rsidR="00C51EF0" w:rsidRPr="00C51EF0" w:rsidRDefault="00C51EF0">
          <w:pPr>
            <w:pStyle w:val="TOC2"/>
            <w:tabs>
              <w:tab w:val="right" w:leader="dot" w:pos="9016"/>
            </w:tabs>
            <w:rPr>
              <w:noProof/>
            </w:rPr>
          </w:pPr>
          <w:hyperlink w:anchor="_Toc241908526" w:history="1">
            <w:r w:rsidRPr="00C51EF0">
              <w:rPr>
                <w:rStyle w:val="Hyperlink"/>
                <w:noProof/>
                <w:color w:val="auto"/>
              </w:rPr>
              <w:t>12.10 Discussion Questions</w:t>
            </w:r>
            <w:r w:rsidRPr="00C51EF0">
              <w:rPr>
                <w:noProof/>
              </w:rPr>
              <w:tab/>
            </w:r>
            <w:r w:rsidRPr="00C51EF0">
              <w:rPr>
                <w:noProof/>
              </w:rPr>
              <w:fldChar w:fldCharType="begin"/>
            </w:r>
            <w:r w:rsidRPr="00C51EF0">
              <w:rPr>
                <w:noProof/>
              </w:rPr>
              <w:instrText xml:space="preserve"> PAGEREF _Toc241908526 \h </w:instrText>
            </w:r>
            <w:r w:rsidRPr="00C51EF0">
              <w:rPr>
                <w:noProof/>
              </w:rPr>
            </w:r>
            <w:r w:rsidRPr="00C51EF0">
              <w:rPr>
                <w:noProof/>
              </w:rPr>
              <w:fldChar w:fldCharType="separate"/>
            </w:r>
            <w:r w:rsidRPr="00C51EF0">
              <w:rPr>
                <w:noProof/>
              </w:rPr>
              <w:t>98</w:t>
            </w:r>
            <w:r w:rsidRPr="00C51EF0">
              <w:rPr>
                <w:noProof/>
              </w:rPr>
              <w:fldChar w:fldCharType="end"/>
            </w:r>
          </w:hyperlink>
        </w:p>
        <w:p w:rsidR="00C51EF0" w:rsidRPr="00C51EF0" w:rsidRDefault="00C51EF0">
          <w:pPr>
            <w:pStyle w:val="TOC2"/>
            <w:tabs>
              <w:tab w:val="right" w:leader="dot" w:pos="9016"/>
            </w:tabs>
            <w:rPr>
              <w:noProof/>
            </w:rPr>
          </w:pPr>
          <w:hyperlink w:anchor="_Toc241908527" w:history="1">
            <w:r w:rsidRPr="00C51EF0">
              <w:rPr>
                <w:rStyle w:val="Hyperlink"/>
                <w:noProof/>
                <w:color w:val="auto"/>
              </w:rPr>
              <w:t>12.11 Further Reading</w:t>
            </w:r>
            <w:r w:rsidRPr="00C51EF0">
              <w:rPr>
                <w:noProof/>
              </w:rPr>
              <w:tab/>
            </w:r>
            <w:r w:rsidRPr="00C51EF0">
              <w:rPr>
                <w:noProof/>
              </w:rPr>
              <w:fldChar w:fldCharType="begin"/>
            </w:r>
            <w:r w:rsidRPr="00C51EF0">
              <w:rPr>
                <w:noProof/>
              </w:rPr>
              <w:instrText xml:space="preserve"> PAGEREF _Toc241908527 \h </w:instrText>
            </w:r>
            <w:r w:rsidRPr="00C51EF0">
              <w:rPr>
                <w:noProof/>
              </w:rPr>
            </w:r>
            <w:r w:rsidRPr="00C51EF0">
              <w:rPr>
                <w:noProof/>
              </w:rPr>
              <w:fldChar w:fldCharType="separate"/>
            </w:r>
            <w:r w:rsidRPr="00C51EF0">
              <w:rPr>
                <w:noProof/>
              </w:rPr>
              <w:t>98</w:t>
            </w:r>
            <w:r w:rsidRPr="00C51EF0">
              <w:rPr>
                <w:noProof/>
              </w:rPr>
              <w:fldChar w:fldCharType="end"/>
            </w:r>
          </w:hyperlink>
        </w:p>
        <w:p w:rsidR="00C51EF0" w:rsidRPr="00C51EF0" w:rsidRDefault="00C51EF0">
          <w:pPr>
            <w:pStyle w:val="TOC1"/>
            <w:tabs>
              <w:tab w:val="right" w:leader="dot" w:pos="9016"/>
            </w:tabs>
            <w:rPr>
              <w:noProof/>
            </w:rPr>
          </w:pPr>
          <w:hyperlink w:anchor="_Toc241908528" w:history="1">
            <w:r w:rsidRPr="00C51EF0">
              <w:rPr>
                <w:rStyle w:val="Hyperlink"/>
                <w:noProof/>
                <w:color w:val="auto"/>
              </w:rPr>
              <w:t>UNIT THIRTEEN: ETHICS, FORGERIES AND THE ANTIQUITIES TRADE</w:t>
            </w:r>
            <w:r w:rsidRPr="00C51EF0">
              <w:rPr>
                <w:noProof/>
              </w:rPr>
              <w:tab/>
            </w:r>
            <w:r w:rsidRPr="00C51EF0">
              <w:rPr>
                <w:noProof/>
              </w:rPr>
              <w:fldChar w:fldCharType="begin"/>
            </w:r>
            <w:r w:rsidRPr="00C51EF0">
              <w:rPr>
                <w:noProof/>
              </w:rPr>
              <w:instrText xml:space="preserve"> PAGEREF _Toc241908528 \h </w:instrText>
            </w:r>
            <w:r w:rsidRPr="00C51EF0">
              <w:rPr>
                <w:noProof/>
              </w:rPr>
            </w:r>
            <w:r w:rsidRPr="00C51EF0">
              <w:rPr>
                <w:noProof/>
              </w:rPr>
              <w:fldChar w:fldCharType="separate"/>
            </w:r>
            <w:r w:rsidRPr="00C51EF0">
              <w:rPr>
                <w:noProof/>
              </w:rPr>
              <w:t>100</w:t>
            </w:r>
            <w:r w:rsidRPr="00C51EF0">
              <w:rPr>
                <w:noProof/>
              </w:rPr>
              <w:fldChar w:fldCharType="end"/>
            </w:r>
          </w:hyperlink>
        </w:p>
        <w:p w:rsidR="00C51EF0" w:rsidRPr="00C51EF0" w:rsidRDefault="00C51EF0">
          <w:pPr>
            <w:pStyle w:val="TOC2"/>
            <w:tabs>
              <w:tab w:val="right" w:leader="dot" w:pos="9016"/>
            </w:tabs>
            <w:rPr>
              <w:noProof/>
            </w:rPr>
          </w:pPr>
          <w:hyperlink w:anchor="_Toc241908529" w:history="1">
            <w:r w:rsidRPr="00C51EF0">
              <w:rPr>
                <w:rStyle w:val="Hyperlink"/>
                <w:noProof/>
                <w:color w:val="auto"/>
              </w:rPr>
              <w:t>13.1 Introduction</w:t>
            </w:r>
            <w:r w:rsidRPr="00C51EF0">
              <w:rPr>
                <w:noProof/>
              </w:rPr>
              <w:tab/>
            </w:r>
            <w:r w:rsidRPr="00C51EF0">
              <w:rPr>
                <w:noProof/>
              </w:rPr>
              <w:fldChar w:fldCharType="begin"/>
            </w:r>
            <w:r w:rsidRPr="00C51EF0">
              <w:rPr>
                <w:noProof/>
              </w:rPr>
              <w:instrText xml:space="preserve"> PAGEREF _Toc241908529 \h </w:instrText>
            </w:r>
            <w:r w:rsidRPr="00C51EF0">
              <w:rPr>
                <w:noProof/>
              </w:rPr>
            </w:r>
            <w:r w:rsidRPr="00C51EF0">
              <w:rPr>
                <w:noProof/>
              </w:rPr>
              <w:fldChar w:fldCharType="separate"/>
            </w:r>
            <w:r w:rsidRPr="00C51EF0">
              <w:rPr>
                <w:noProof/>
              </w:rPr>
              <w:t>100</w:t>
            </w:r>
            <w:r w:rsidRPr="00C51EF0">
              <w:rPr>
                <w:noProof/>
              </w:rPr>
              <w:fldChar w:fldCharType="end"/>
            </w:r>
          </w:hyperlink>
        </w:p>
        <w:p w:rsidR="00C51EF0" w:rsidRPr="00C51EF0" w:rsidRDefault="00C51EF0">
          <w:pPr>
            <w:pStyle w:val="TOC2"/>
            <w:tabs>
              <w:tab w:val="right" w:leader="dot" w:pos="9016"/>
            </w:tabs>
            <w:rPr>
              <w:noProof/>
            </w:rPr>
          </w:pPr>
          <w:hyperlink w:anchor="_Toc241908530" w:history="1">
            <w:r w:rsidRPr="00C51EF0">
              <w:rPr>
                <w:rStyle w:val="Hyperlink"/>
                <w:noProof/>
                <w:color w:val="auto"/>
              </w:rPr>
              <w:t>13.2 Learning Objectives</w:t>
            </w:r>
            <w:r w:rsidRPr="00C51EF0">
              <w:rPr>
                <w:noProof/>
              </w:rPr>
              <w:tab/>
            </w:r>
            <w:r w:rsidRPr="00C51EF0">
              <w:rPr>
                <w:noProof/>
              </w:rPr>
              <w:fldChar w:fldCharType="begin"/>
            </w:r>
            <w:r w:rsidRPr="00C51EF0">
              <w:rPr>
                <w:noProof/>
              </w:rPr>
              <w:instrText xml:space="preserve"> PAGEREF _Toc241908530 \h </w:instrText>
            </w:r>
            <w:r w:rsidRPr="00C51EF0">
              <w:rPr>
                <w:noProof/>
              </w:rPr>
            </w:r>
            <w:r w:rsidRPr="00C51EF0">
              <w:rPr>
                <w:noProof/>
              </w:rPr>
              <w:fldChar w:fldCharType="separate"/>
            </w:r>
            <w:r w:rsidRPr="00C51EF0">
              <w:rPr>
                <w:noProof/>
              </w:rPr>
              <w:t>100</w:t>
            </w:r>
            <w:r w:rsidRPr="00C51EF0">
              <w:rPr>
                <w:noProof/>
              </w:rPr>
              <w:fldChar w:fldCharType="end"/>
            </w:r>
          </w:hyperlink>
        </w:p>
        <w:p w:rsidR="00C51EF0" w:rsidRPr="00C51EF0" w:rsidRDefault="00C51EF0">
          <w:pPr>
            <w:pStyle w:val="TOC2"/>
            <w:tabs>
              <w:tab w:val="right" w:leader="dot" w:pos="9016"/>
            </w:tabs>
            <w:rPr>
              <w:noProof/>
            </w:rPr>
          </w:pPr>
          <w:hyperlink w:anchor="_Toc241908531" w:history="1">
            <w:r w:rsidRPr="00C51EF0">
              <w:rPr>
                <w:rStyle w:val="Hyperlink"/>
                <w:noProof/>
                <w:color w:val="auto"/>
              </w:rPr>
              <w:t>13.3 Context and Provenance</w:t>
            </w:r>
            <w:r w:rsidRPr="00C51EF0">
              <w:rPr>
                <w:noProof/>
              </w:rPr>
              <w:tab/>
            </w:r>
            <w:r w:rsidRPr="00C51EF0">
              <w:rPr>
                <w:noProof/>
              </w:rPr>
              <w:fldChar w:fldCharType="begin"/>
            </w:r>
            <w:r w:rsidRPr="00C51EF0">
              <w:rPr>
                <w:noProof/>
              </w:rPr>
              <w:instrText xml:space="preserve"> PAGEREF _Toc241908531 \h </w:instrText>
            </w:r>
            <w:r w:rsidRPr="00C51EF0">
              <w:rPr>
                <w:noProof/>
              </w:rPr>
            </w:r>
            <w:r w:rsidRPr="00C51EF0">
              <w:rPr>
                <w:noProof/>
              </w:rPr>
              <w:fldChar w:fldCharType="separate"/>
            </w:r>
            <w:r w:rsidRPr="00C51EF0">
              <w:rPr>
                <w:noProof/>
              </w:rPr>
              <w:t>100</w:t>
            </w:r>
            <w:r w:rsidRPr="00C51EF0">
              <w:rPr>
                <w:noProof/>
              </w:rPr>
              <w:fldChar w:fldCharType="end"/>
            </w:r>
          </w:hyperlink>
        </w:p>
        <w:p w:rsidR="00C51EF0" w:rsidRPr="00C51EF0" w:rsidRDefault="00C51EF0">
          <w:pPr>
            <w:pStyle w:val="TOC2"/>
            <w:tabs>
              <w:tab w:val="right" w:leader="dot" w:pos="9016"/>
            </w:tabs>
            <w:rPr>
              <w:noProof/>
            </w:rPr>
          </w:pPr>
          <w:hyperlink w:anchor="_Toc241908532" w:history="1">
            <w:r w:rsidRPr="00C51EF0">
              <w:rPr>
                <w:rStyle w:val="Hyperlink"/>
                <w:noProof/>
                <w:color w:val="auto"/>
              </w:rPr>
              <w:t>13.4 Looting and the Antiquities Trade</w:t>
            </w:r>
            <w:r w:rsidRPr="00C51EF0">
              <w:rPr>
                <w:noProof/>
              </w:rPr>
              <w:tab/>
            </w:r>
            <w:r w:rsidRPr="00C51EF0">
              <w:rPr>
                <w:noProof/>
              </w:rPr>
              <w:fldChar w:fldCharType="begin"/>
            </w:r>
            <w:r w:rsidRPr="00C51EF0">
              <w:rPr>
                <w:noProof/>
              </w:rPr>
              <w:instrText xml:space="preserve"> PAGEREF _Toc241908532 \h </w:instrText>
            </w:r>
            <w:r w:rsidRPr="00C51EF0">
              <w:rPr>
                <w:noProof/>
              </w:rPr>
            </w:r>
            <w:r w:rsidRPr="00C51EF0">
              <w:rPr>
                <w:noProof/>
              </w:rPr>
              <w:fldChar w:fldCharType="separate"/>
            </w:r>
            <w:r w:rsidRPr="00C51EF0">
              <w:rPr>
                <w:noProof/>
              </w:rPr>
              <w:t>101</w:t>
            </w:r>
            <w:r w:rsidRPr="00C51EF0">
              <w:rPr>
                <w:noProof/>
              </w:rPr>
              <w:fldChar w:fldCharType="end"/>
            </w:r>
          </w:hyperlink>
        </w:p>
        <w:p w:rsidR="00C51EF0" w:rsidRPr="00C51EF0" w:rsidRDefault="00C51EF0">
          <w:pPr>
            <w:pStyle w:val="TOC2"/>
            <w:tabs>
              <w:tab w:val="right" w:leader="dot" w:pos="9016"/>
            </w:tabs>
            <w:rPr>
              <w:noProof/>
            </w:rPr>
          </w:pPr>
          <w:hyperlink w:anchor="_Toc241908533" w:history="1">
            <w:r w:rsidRPr="00C51EF0">
              <w:rPr>
                <w:rStyle w:val="Hyperlink"/>
                <w:noProof/>
                <w:color w:val="auto"/>
              </w:rPr>
              <w:t>13.5 Major Cases of Forgery</w:t>
            </w:r>
            <w:r w:rsidRPr="00C51EF0">
              <w:rPr>
                <w:noProof/>
              </w:rPr>
              <w:tab/>
            </w:r>
            <w:r w:rsidRPr="00C51EF0">
              <w:rPr>
                <w:noProof/>
              </w:rPr>
              <w:fldChar w:fldCharType="begin"/>
            </w:r>
            <w:r w:rsidRPr="00C51EF0">
              <w:rPr>
                <w:noProof/>
              </w:rPr>
              <w:instrText xml:space="preserve"> PAGEREF _Toc241908533 \h </w:instrText>
            </w:r>
            <w:r w:rsidRPr="00C51EF0">
              <w:rPr>
                <w:noProof/>
              </w:rPr>
            </w:r>
            <w:r w:rsidRPr="00C51EF0">
              <w:rPr>
                <w:noProof/>
              </w:rPr>
              <w:fldChar w:fldCharType="separate"/>
            </w:r>
            <w:r w:rsidRPr="00C51EF0">
              <w:rPr>
                <w:noProof/>
              </w:rPr>
              <w:t>102</w:t>
            </w:r>
            <w:r w:rsidRPr="00C51EF0">
              <w:rPr>
                <w:noProof/>
              </w:rPr>
              <w:fldChar w:fldCharType="end"/>
            </w:r>
          </w:hyperlink>
        </w:p>
        <w:p w:rsidR="00C51EF0" w:rsidRPr="00C51EF0" w:rsidRDefault="00C51EF0">
          <w:pPr>
            <w:pStyle w:val="TOC2"/>
            <w:tabs>
              <w:tab w:val="right" w:leader="dot" w:pos="9016"/>
            </w:tabs>
            <w:rPr>
              <w:noProof/>
            </w:rPr>
          </w:pPr>
          <w:hyperlink w:anchor="_Toc241908534" w:history="1">
            <w:r w:rsidRPr="00C51EF0">
              <w:rPr>
                <w:rStyle w:val="Hyperlink"/>
                <w:noProof/>
                <w:color w:val="auto"/>
              </w:rPr>
              <w:t>13.6 Why Forgeries Succeed</w:t>
            </w:r>
            <w:r w:rsidRPr="00C51EF0">
              <w:rPr>
                <w:noProof/>
              </w:rPr>
              <w:tab/>
            </w:r>
            <w:r w:rsidRPr="00C51EF0">
              <w:rPr>
                <w:noProof/>
              </w:rPr>
              <w:fldChar w:fldCharType="begin"/>
            </w:r>
            <w:r w:rsidRPr="00C51EF0">
              <w:rPr>
                <w:noProof/>
              </w:rPr>
              <w:instrText xml:space="preserve"> PAGEREF _Toc241908534 \h </w:instrText>
            </w:r>
            <w:r w:rsidRPr="00C51EF0">
              <w:rPr>
                <w:noProof/>
              </w:rPr>
            </w:r>
            <w:r w:rsidRPr="00C51EF0">
              <w:rPr>
                <w:noProof/>
              </w:rPr>
              <w:fldChar w:fldCharType="separate"/>
            </w:r>
            <w:r w:rsidRPr="00C51EF0">
              <w:rPr>
                <w:noProof/>
              </w:rPr>
              <w:t>104</w:t>
            </w:r>
            <w:r w:rsidRPr="00C51EF0">
              <w:rPr>
                <w:noProof/>
              </w:rPr>
              <w:fldChar w:fldCharType="end"/>
            </w:r>
          </w:hyperlink>
        </w:p>
        <w:p w:rsidR="00C51EF0" w:rsidRPr="00C51EF0" w:rsidRDefault="00C51EF0">
          <w:pPr>
            <w:pStyle w:val="TOC2"/>
            <w:tabs>
              <w:tab w:val="right" w:leader="dot" w:pos="9016"/>
            </w:tabs>
            <w:rPr>
              <w:noProof/>
            </w:rPr>
          </w:pPr>
          <w:hyperlink w:anchor="_Toc241908535" w:history="1">
            <w:r w:rsidRPr="00C51EF0">
              <w:rPr>
                <w:rStyle w:val="Hyperlink"/>
                <w:noProof/>
                <w:color w:val="auto"/>
              </w:rPr>
              <w:t>13.7 Archaeology and Politics</w:t>
            </w:r>
            <w:r w:rsidRPr="00C51EF0">
              <w:rPr>
                <w:noProof/>
              </w:rPr>
              <w:tab/>
            </w:r>
            <w:r w:rsidRPr="00C51EF0">
              <w:rPr>
                <w:noProof/>
              </w:rPr>
              <w:fldChar w:fldCharType="begin"/>
            </w:r>
            <w:r w:rsidRPr="00C51EF0">
              <w:rPr>
                <w:noProof/>
              </w:rPr>
              <w:instrText xml:space="preserve"> PAGEREF _Toc241908535 \h </w:instrText>
            </w:r>
            <w:r w:rsidRPr="00C51EF0">
              <w:rPr>
                <w:noProof/>
              </w:rPr>
            </w:r>
            <w:r w:rsidRPr="00C51EF0">
              <w:rPr>
                <w:noProof/>
              </w:rPr>
              <w:fldChar w:fldCharType="separate"/>
            </w:r>
            <w:r w:rsidRPr="00C51EF0">
              <w:rPr>
                <w:noProof/>
              </w:rPr>
              <w:t>104</w:t>
            </w:r>
            <w:r w:rsidRPr="00C51EF0">
              <w:rPr>
                <w:noProof/>
              </w:rPr>
              <w:fldChar w:fldCharType="end"/>
            </w:r>
          </w:hyperlink>
        </w:p>
        <w:p w:rsidR="00C51EF0" w:rsidRPr="00C51EF0" w:rsidRDefault="00C51EF0">
          <w:pPr>
            <w:pStyle w:val="TOC2"/>
            <w:tabs>
              <w:tab w:val="right" w:leader="dot" w:pos="9016"/>
            </w:tabs>
            <w:rPr>
              <w:noProof/>
            </w:rPr>
          </w:pPr>
          <w:hyperlink w:anchor="_Toc241908536" w:history="1">
            <w:r w:rsidRPr="00C51EF0">
              <w:rPr>
                <w:rStyle w:val="Hyperlink"/>
                <w:noProof/>
                <w:color w:val="auto"/>
              </w:rPr>
              <w:t>13.8 Ethical Principles</w:t>
            </w:r>
            <w:r w:rsidRPr="00C51EF0">
              <w:rPr>
                <w:noProof/>
              </w:rPr>
              <w:tab/>
            </w:r>
            <w:r w:rsidRPr="00C51EF0">
              <w:rPr>
                <w:noProof/>
              </w:rPr>
              <w:fldChar w:fldCharType="begin"/>
            </w:r>
            <w:r w:rsidRPr="00C51EF0">
              <w:rPr>
                <w:noProof/>
              </w:rPr>
              <w:instrText xml:space="preserve"> PAGEREF _Toc241908536 \h </w:instrText>
            </w:r>
            <w:r w:rsidRPr="00C51EF0">
              <w:rPr>
                <w:noProof/>
              </w:rPr>
            </w:r>
            <w:r w:rsidRPr="00C51EF0">
              <w:rPr>
                <w:noProof/>
              </w:rPr>
              <w:fldChar w:fldCharType="separate"/>
            </w:r>
            <w:r w:rsidRPr="00C51EF0">
              <w:rPr>
                <w:noProof/>
              </w:rPr>
              <w:t>104</w:t>
            </w:r>
            <w:r w:rsidRPr="00C51EF0">
              <w:rPr>
                <w:noProof/>
              </w:rPr>
              <w:fldChar w:fldCharType="end"/>
            </w:r>
          </w:hyperlink>
        </w:p>
        <w:p w:rsidR="00C51EF0" w:rsidRPr="00C51EF0" w:rsidRDefault="00C51EF0">
          <w:pPr>
            <w:pStyle w:val="TOC2"/>
            <w:tabs>
              <w:tab w:val="right" w:leader="dot" w:pos="9016"/>
            </w:tabs>
            <w:rPr>
              <w:noProof/>
            </w:rPr>
          </w:pPr>
          <w:hyperlink w:anchor="_Toc241908537" w:history="1">
            <w:r w:rsidRPr="00C51EF0">
              <w:rPr>
                <w:rStyle w:val="Hyperlink"/>
                <w:noProof/>
                <w:color w:val="auto"/>
              </w:rPr>
              <w:t>13.9 Summary</w:t>
            </w:r>
            <w:r w:rsidRPr="00C51EF0">
              <w:rPr>
                <w:noProof/>
              </w:rPr>
              <w:tab/>
            </w:r>
            <w:r w:rsidRPr="00C51EF0">
              <w:rPr>
                <w:noProof/>
              </w:rPr>
              <w:fldChar w:fldCharType="begin"/>
            </w:r>
            <w:r w:rsidRPr="00C51EF0">
              <w:rPr>
                <w:noProof/>
              </w:rPr>
              <w:instrText xml:space="preserve"> PAGEREF _Toc241908537 \h </w:instrText>
            </w:r>
            <w:r w:rsidRPr="00C51EF0">
              <w:rPr>
                <w:noProof/>
              </w:rPr>
            </w:r>
            <w:r w:rsidRPr="00C51EF0">
              <w:rPr>
                <w:noProof/>
              </w:rPr>
              <w:fldChar w:fldCharType="separate"/>
            </w:r>
            <w:r w:rsidRPr="00C51EF0">
              <w:rPr>
                <w:noProof/>
              </w:rPr>
              <w:t>105</w:t>
            </w:r>
            <w:r w:rsidRPr="00C51EF0">
              <w:rPr>
                <w:noProof/>
              </w:rPr>
              <w:fldChar w:fldCharType="end"/>
            </w:r>
          </w:hyperlink>
        </w:p>
        <w:p w:rsidR="00C51EF0" w:rsidRPr="00C51EF0" w:rsidRDefault="00C51EF0">
          <w:pPr>
            <w:pStyle w:val="TOC2"/>
            <w:tabs>
              <w:tab w:val="right" w:leader="dot" w:pos="9016"/>
            </w:tabs>
            <w:rPr>
              <w:noProof/>
            </w:rPr>
          </w:pPr>
          <w:hyperlink w:anchor="_Toc241908538" w:history="1">
            <w:r w:rsidRPr="00C51EF0">
              <w:rPr>
                <w:rStyle w:val="Hyperlink"/>
                <w:noProof/>
                <w:color w:val="auto"/>
              </w:rPr>
              <w:t>13.10 Life Application</w:t>
            </w:r>
            <w:r w:rsidRPr="00C51EF0">
              <w:rPr>
                <w:noProof/>
              </w:rPr>
              <w:tab/>
            </w:r>
            <w:r w:rsidRPr="00C51EF0">
              <w:rPr>
                <w:noProof/>
              </w:rPr>
              <w:fldChar w:fldCharType="begin"/>
            </w:r>
            <w:r w:rsidRPr="00C51EF0">
              <w:rPr>
                <w:noProof/>
              </w:rPr>
              <w:instrText xml:space="preserve"> PAGEREF _Toc241908538 \h </w:instrText>
            </w:r>
            <w:r w:rsidRPr="00C51EF0">
              <w:rPr>
                <w:noProof/>
              </w:rPr>
            </w:r>
            <w:r w:rsidRPr="00C51EF0">
              <w:rPr>
                <w:noProof/>
              </w:rPr>
              <w:fldChar w:fldCharType="separate"/>
            </w:r>
            <w:r w:rsidRPr="00C51EF0">
              <w:rPr>
                <w:noProof/>
              </w:rPr>
              <w:t>105</w:t>
            </w:r>
            <w:r w:rsidRPr="00C51EF0">
              <w:rPr>
                <w:noProof/>
              </w:rPr>
              <w:fldChar w:fldCharType="end"/>
            </w:r>
          </w:hyperlink>
        </w:p>
        <w:p w:rsidR="00C51EF0" w:rsidRPr="00C51EF0" w:rsidRDefault="00C51EF0">
          <w:pPr>
            <w:pStyle w:val="TOC2"/>
            <w:tabs>
              <w:tab w:val="right" w:leader="dot" w:pos="9016"/>
            </w:tabs>
            <w:rPr>
              <w:noProof/>
            </w:rPr>
          </w:pPr>
          <w:hyperlink w:anchor="_Toc241908539" w:history="1">
            <w:r w:rsidRPr="00C51EF0">
              <w:rPr>
                <w:rStyle w:val="Hyperlink"/>
                <w:noProof/>
                <w:color w:val="auto"/>
              </w:rPr>
              <w:t>13.11 Discussion Questions</w:t>
            </w:r>
            <w:r w:rsidRPr="00C51EF0">
              <w:rPr>
                <w:noProof/>
              </w:rPr>
              <w:tab/>
            </w:r>
            <w:r w:rsidRPr="00C51EF0">
              <w:rPr>
                <w:noProof/>
              </w:rPr>
              <w:fldChar w:fldCharType="begin"/>
            </w:r>
            <w:r w:rsidRPr="00C51EF0">
              <w:rPr>
                <w:noProof/>
              </w:rPr>
              <w:instrText xml:space="preserve"> PAGEREF _Toc241908539 \h </w:instrText>
            </w:r>
            <w:r w:rsidRPr="00C51EF0">
              <w:rPr>
                <w:noProof/>
              </w:rPr>
            </w:r>
            <w:r w:rsidRPr="00C51EF0">
              <w:rPr>
                <w:noProof/>
              </w:rPr>
              <w:fldChar w:fldCharType="separate"/>
            </w:r>
            <w:r w:rsidRPr="00C51EF0">
              <w:rPr>
                <w:noProof/>
              </w:rPr>
              <w:t>106</w:t>
            </w:r>
            <w:r w:rsidRPr="00C51EF0">
              <w:rPr>
                <w:noProof/>
              </w:rPr>
              <w:fldChar w:fldCharType="end"/>
            </w:r>
          </w:hyperlink>
        </w:p>
        <w:p w:rsidR="00C51EF0" w:rsidRPr="00C51EF0" w:rsidRDefault="00C51EF0">
          <w:pPr>
            <w:pStyle w:val="TOC2"/>
            <w:tabs>
              <w:tab w:val="right" w:leader="dot" w:pos="9016"/>
            </w:tabs>
            <w:rPr>
              <w:noProof/>
            </w:rPr>
          </w:pPr>
          <w:hyperlink w:anchor="_Toc241908540" w:history="1">
            <w:r w:rsidRPr="00C51EF0">
              <w:rPr>
                <w:rStyle w:val="Hyperlink"/>
                <w:noProof/>
                <w:color w:val="auto"/>
              </w:rPr>
              <w:t>13.12 Further Reading</w:t>
            </w:r>
            <w:r w:rsidRPr="00C51EF0">
              <w:rPr>
                <w:noProof/>
              </w:rPr>
              <w:tab/>
            </w:r>
            <w:r w:rsidRPr="00C51EF0">
              <w:rPr>
                <w:noProof/>
              </w:rPr>
              <w:fldChar w:fldCharType="begin"/>
            </w:r>
            <w:r w:rsidRPr="00C51EF0">
              <w:rPr>
                <w:noProof/>
              </w:rPr>
              <w:instrText xml:space="preserve"> PAGEREF _Toc241908540 \h </w:instrText>
            </w:r>
            <w:r w:rsidRPr="00C51EF0">
              <w:rPr>
                <w:noProof/>
              </w:rPr>
            </w:r>
            <w:r w:rsidRPr="00C51EF0">
              <w:rPr>
                <w:noProof/>
              </w:rPr>
              <w:fldChar w:fldCharType="separate"/>
            </w:r>
            <w:r w:rsidRPr="00C51EF0">
              <w:rPr>
                <w:noProof/>
              </w:rPr>
              <w:t>107</w:t>
            </w:r>
            <w:r w:rsidRPr="00C51EF0">
              <w:rPr>
                <w:noProof/>
              </w:rPr>
              <w:fldChar w:fldCharType="end"/>
            </w:r>
          </w:hyperlink>
        </w:p>
        <w:p w:rsidR="00C51EF0" w:rsidRPr="00C51EF0" w:rsidRDefault="00C51EF0">
          <w:pPr>
            <w:pStyle w:val="TOC1"/>
            <w:tabs>
              <w:tab w:val="right" w:leader="dot" w:pos="9016"/>
            </w:tabs>
            <w:rPr>
              <w:noProof/>
            </w:rPr>
          </w:pPr>
          <w:hyperlink w:anchor="_Toc241908541" w:history="1">
            <w:r w:rsidRPr="00C51EF0">
              <w:rPr>
                <w:rStyle w:val="Hyperlink"/>
                <w:noProof/>
                <w:color w:val="auto"/>
              </w:rPr>
              <w:t>UNIT FOURTEEN: AFRICA, ARCHAEOLOGY AND THE BIBLE: IMPLICATIONS FOR THE AFRICAN CHURCH</w:t>
            </w:r>
            <w:r w:rsidRPr="00C51EF0">
              <w:rPr>
                <w:noProof/>
              </w:rPr>
              <w:tab/>
            </w:r>
            <w:r w:rsidRPr="00C51EF0">
              <w:rPr>
                <w:noProof/>
              </w:rPr>
              <w:fldChar w:fldCharType="begin"/>
            </w:r>
            <w:r w:rsidRPr="00C51EF0">
              <w:rPr>
                <w:noProof/>
              </w:rPr>
              <w:instrText xml:space="preserve"> PAGEREF _Toc241908541 \h </w:instrText>
            </w:r>
            <w:r w:rsidRPr="00C51EF0">
              <w:rPr>
                <w:noProof/>
              </w:rPr>
            </w:r>
            <w:r w:rsidRPr="00C51EF0">
              <w:rPr>
                <w:noProof/>
              </w:rPr>
              <w:fldChar w:fldCharType="separate"/>
            </w:r>
            <w:r w:rsidRPr="00C51EF0">
              <w:rPr>
                <w:noProof/>
              </w:rPr>
              <w:t>108</w:t>
            </w:r>
            <w:r w:rsidRPr="00C51EF0">
              <w:rPr>
                <w:noProof/>
              </w:rPr>
              <w:fldChar w:fldCharType="end"/>
            </w:r>
          </w:hyperlink>
        </w:p>
        <w:p w:rsidR="00C51EF0" w:rsidRPr="00C51EF0" w:rsidRDefault="00C51EF0">
          <w:pPr>
            <w:pStyle w:val="TOC2"/>
            <w:tabs>
              <w:tab w:val="right" w:leader="dot" w:pos="9016"/>
            </w:tabs>
            <w:rPr>
              <w:noProof/>
            </w:rPr>
          </w:pPr>
          <w:hyperlink w:anchor="_Toc241908542" w:history="1">
            <w:r w:rsidRPr="00C51EF0">
              <w:rPr>
                <w:rStyle w:val="Hyperlink"/>
                <w:noProof/>
                <w:color w:val="auto"/>
              </w:rPr>
              <w:t>14.1 Introduction</w:t>
            </w:r>
            <w:r w:rsidRPr="00C51EF0">
              <w:rPr>
                <w:noProof/>
              </w:rPr>
              <w:tab/>
            </w:r>
            <w:r w:rsidRPr="00C51EF0">
              <w:rPr>
                <w:noProof/>
              </w:rPr>
              <w:fldChar w:fldCharType="begin"/>
            </w:r>
            <w:r w:rsidRPr="00C51EF0">
              <w:rPr>
                <w:noProof/>
              </w:rPr>
              <w:instrText xml:space="preserve"> PAGEREF _Toc241908542 \h </w:instrText>
            </w:r>
            <w:r w:rsidRPr="00C51EF0">
              <w:rPr>
                <w:noProof/>
              </w:rPr>
            </w:r>
            <w:r w:rsidRPr="00C51EF0">
              <w:rPr>
                <w:noProof/>
              </w:rPr>
              <w:fldChar w:fldCharType="separate"/>
            </w:r>
            <w:r w:rsidRPr="00C51EF0">
              <w:rPr>
                <w:noProof/>
              </w:rPr>
              <w:t>108</w:t>
            </w:r>
            <w:r w:rsidRPr="00C51EF0">
              <w:rPr>
                <w:noProof/>
              </w:rPr>
              <w:fldChar w:fldCharType="end"/>
            </w:r>
          </w:hyperlink>
        </w:p>
        <w:p w:rsidR="00C51EF0" w:rsidRPr="00C51EF0" w:rsidRDefault="00C51EF0">
          <w:pPr>
            <w:pStyle w:val="TOC2"/>
            <w:tabs>
              <w:tab w:val="right" w:leader="dot" w:pos="9016"/>
            </w:tabs>
            <w:rPr>
              <w:noProof/>
            </w:rPr>
          </w:pPr>
          <w:hyperlink w:anchor="_Toc241908543" w:history="1">
            <w:r w:rsidRPr="00C51EF0">
              <w:rPr>
                <w:rStyle w:val="Hyperlink"/>
                <w:noProof/>
                <w:color w:val="auto"/>
              </w:rPr>
              <w:t>14.2 Learning Objectives</w:t>
            </w:r>
            <w:r w:rsidRPr="00C51EF0">
              <w:rPr>
                <w:noProof/>
              </w:rPr>
              <w:tab/>
            </w:r>
            <w:r w:rsidRPr="00C51EF0">
              <w:rPr>
                <w:noProof/>
              </w:rPr>
              <w:fldChar w:fldCharType="begin"/>
            </w:r>
            <w:r w:rsidRPr="00C51EF0">
              <w:rPr>
                <w:noProof/>
              </w:rPr>
              <w:instrText xml:space="preserve"> PAGEREF _Toc241908543 \h </w:instrText>
            </w:r>
            <w:r w:rsidRPr="00C51EF0">
              <w:rPr>
                <w:noProof/>
              </w:rPr>
            </w:r>
            <w:r w:rsidRPr="00C51EF0">
              <w:rPr>
                <w:noProof/>
              </w:rPr>
              <w:fldChar w:fldCharType="separate"/>
            </w:r>
            <w:r w:rsidRPr="00C51EF0">
              <w:rPr>
                <w:noProof/>
              </w:rPr>
              <w:t>108</w:t>
            </w:r>
            <w:r w:rsidRPr="00C51EF0">
              <w:rPr>
                <w:noProof/>
              </w:rPr>
              <w:fldChar w:fldCharType="end"/>
            </w:r>
          </w:hyperlink>
        </w:p>
        <w:p w:rsidR="00C51EF0" w:rsidRPr="00C51EF0" w:rsidRDefault="00C51EF0">
          <w:pPr>
            <w:pStyle w:val="TOC2"/>
            <w:tabs>
              <w:tab w:val="right" w:leader="dot" w:pos="9016"/>
            </w:tabs>
            <w:rPr>
              <w:noProof/>
            </w:rPr>
          </w:pPr>
          <w:hyperlink w:anchor="_Toc241908544" w:history="1">
            <w:r w:rsidRPr="00C51EF0">
              <w:rPr>
                <w:rStyle w:val="Hyperlink"/>
                <w:noProof/>
                <w:color w:val="auto"/>
              </w:rPr>
              <w:t>14.3 Africa in the Biblical World</w:t>
            </w:r>
            <w:r w:rsidRPr="00C51EF0">
              <w:rPr>
                <w:noProof/>
              </w:rPr>
              <w:tab/>
            </w:r>
            <w:r w:rsidRPr="00C51EF0">
              <w:rPr>
                <w:noProof/>
              </w:rPr>
              <w:fldChar w:fldCharType="begin"/>
            </w:r>
            <w:r w:rsidRPr="00C51EF0">
              <w:rPr>
                <w:noProof/>
              </w:rPr>
              <w:instrText xml:space="preserve"> PAGEREF _Toc241908544 \h </w:instrText>
            </w:r>
            <w:r w:rsidRPr="00C51EF0">
              <w:rPr>
                <w:noProof/>
              </w:rPr>
            </w:r>
            <w:r w:rsidRPr="00C51EF0">
              <w:rPr>
                <w:noProof/>
              </w:rPr>
              <w:fldChar w:fldCharType="separate"/>
            </w:r>
            <w:r w:rsidRPr="00C51EF0">
              <w:rPr>
                <w:noProof/>
              </w:rPr>
              <w:t>108</w:t>
            </w:r>
            <w:r w:rsidRPr="00C51EF0">
              <w:rPr>
                <w:noProof/>
              </w:rPr>
              <w:fldChar w:fldCharType="end"/>
            </w:r>
          </w:hyperlink>
        </w:p>
        <w:p w:rsidR="00C51EF0" w:rsidRPr="00C51EF0" w:rsidRDefault="00C51EF0">
          <w:pPr>
            <w:pStyle w:val="TOC2"/>
            <w:tabs>
              <w:tab w:val="right" w:leader="dot" w:pos="9016"/>
            </w:tabs>
            <w:rPr>
              <w:noProof/>
            </w:rPr>
          </w:pPr>
          <w:hyperlink w:anchor="_Toc241908545" w:history="1">
            <w:r w:rsidRPr="00C51EF0">
              <w:rPr>
                <w:rStyle w:val="Hyperlink"/>
                <w:noProof/>
                <w:color w:val="auto"/>
              </w:rPr>
              <w:t>14.4 African Scholarship on Africa in the Bible</w:t>
            </w:r>
            <w:r w:rsidRPr="00C51EF0">
              <w:rPr>
                <w:noProof/>
              </w:rPr>
              <w:tab/>
            </w:r>
            <w:r w:rsidRPr="00C51EF0">
              <w:rPr>
                <w:noProof/>
              </w:rPr>
              <w:fldChar w:fldCharType="begin"/>
            </w:r>
            <w:r w:rsidRPr="00C51EF0">
              <w:rPr>
                <w:noProof/>
              </w:rPr>
              <w:instrText xml:space="preserve"> PAGEREF _Toc241908545 \h </w:instrText>
            </w:r>
            <w:r w:rsidRPr="00C51EF0">
              <w:rPr>
                <w:noProof/>
              </w:rPr>
            </w:r>
            <w:r w:rsidRPr="00C51EF0">
              <w:rPr>
                <w:noProof/>
              </w:rPr>
              <w:fldChar w:fldCharType="separate"/>
            </w:r>
            <w:r w:rsidRPr="00C51EF0">
              <w:rPr>
                <w:noProof/>
              </w:rPr>
              <w:t>111</w:t>
            </w:r>
            <w:r w:rsidRPr="00C51EF0">
              <w:rPr>
                <w:noProof/>
              </w:rPr>
              <w:fldChar w:fldCharType="end"/>
            </w:r>
          </w:hyperlink>
        </w:p>
        <w:p w:rsidR="00C51EF0" w:rsidRPr="00C51EF0" w:rsidRDefault="00C51EF0">
          <w:pPr>
            <w:pStyle w:val="TOC2"/>
            <w:tabs>
              <w:tab w:val="right" w:leader="dot" w:pos="9016"/>
            </w:tabs>
            <w:rPr>
              <w:noProof/>
            </w:rPr>
          </w:pPr>
          <w:hyperlink w:anchor="_Toc241908546" w:history="1">
            <w:r w:rsidRPr="00C51EF0">
              <w:rPr>
                <w:rStyle w:val="Hyperlink"/>
                <w:noProof/>
                <w:color w:val="auto"/>
              </w:rPr>
              <w:t>14.5 African Contributions to Archaeological Thinking</w:t>
            </w:r>
            <w:r w:rsidRPr="00C51EF0">
              <w:rPr>
                <w:noProof/>
              </w:rPr>
              <w:tab/>
            </w:r>
            <w:r w:rsidRPr="00C51EF0">
              <w:rPr>
                <w:noProof/>
              </w:rPr>
              <w:fldChar w:fldCharType="begin"/>
            </w:r>
            <w:r w:rsidRPr="00C51EF0">
              <w:rPr>
                <w:noProof/>
              </w:rPr>
              <w:instrText xml:space="preserve"> PAGEREF _Toc241908546 \h </w:instrText>
            </w:r>
            <w:r w:rsidRPr="00C51EF0">
              <w:rPr>
                <w:noProof/>
              </w:rPr>
            </w:r>
            <w:r w:rsidRPr="00C51EF0">
              <w:rPr>
                <w:noProof/>
              </w:rPr>
              <w:fldChar w:fldCharType="separate"/>
            </w:r>
            <w:r w:rsidRPr="00C51EF0">
              <w:rPr>
                <w:noProof/>
              </w:rPr>
              <w:t>111</w:t>
            </w:r>
            <w:r w:rsidRPr="00C51EF0">
              <w:rPr>
                <w:noProof/>
              </w:rPr>
              <w:fldChar w:fldCharType="end"/>
            </w:r>
          </w:hyperlink>
        </w:p>
        <w:p w:rsidR="00C51EF0" w:rsidRPr="00C51EF0" w:rsidRDefault="00C51EF0">
          <w:pPr>
            <w:pStyle w:val="TOC2"/>
            <w:tabs>
              <w:tab w:val="right" w:leader="dot" w:pos="9016"/>
            </w:tabs>
            <w:rPr>
              <w:noProof/>
            </w:rPr>
          </w:pPr>
          <w:hyperlink w:anchor="_Toc241908547" w:history="1">
            <w:r w:rsidRPr="00C51EF0">
              <w:rPr>
                <w:rStyle w:val="Hyperlink"/>
                <w:noProof/>
                <w:color w:val="auto"/>
              </w:rPr>
              <w:t>14.6 The Use and Misuse of Archaeology in the African Church</w:t>
            </w:r>
            <w:r w:rsidRPr="00C51EF0">
              <w:rPr>
                <w:noProof/>
              </w:rPr>
              <w:tab/>
            </w:r>
            <w:r w:rsidRPr="00C51EF0">
              <w:rPr>
                <w:noProof/>
              </w:rPr>
              <w:fldChar w:fldCharType="begin"/>
            </w:r>
            <w:r w:rsidRPr="00C51EF0">
              <w:rPr>
                <w:noProof/>
              </w:rPr>
              <w:instrText xml:space="preserve"> PAGEREF _Toc241908547 \h </w:instrText>
            </w:r>
            <w:r w:rsidRPr="00C51EF0">
              <w:rPr>
                <w:noProof/>
              </w:rPr>
            </w:r>
            <w:r w:rsidRPr="00C51EF0">
              <w:rPr>
                <w:noProof/>
              </w:rPr>
              <w:fldChar w:fldCharType="separate"/>
            </w:r>
            <w:r w:rsidRPr="00C51EF0">
              <w:rPr>
                <w:noProof/>
              </w:rPr>
              <w:t>112</w:t>
            </w:r>
            <w:r w:rsidRPr="00C51EF0">
              <w:rPr>
                <w:noProof/>
              </w:rPr>
              <w:fldChar w:fldCharType="end"/>
            </w:r>
          </w:hyperlink>
        </w:p>
        <w:p w:rsidR="00C51EF0" w:rsidRPr="00C51EF0" w:rsidRDefault="00C51EF0">
          <w:pPr>
            <w:pStyle w:val="TOC2"/>
            <w:tabs>
              <w:tab w:val="right" w:leader="dot" w:pos="9016"/>
            </w:tabs>
            <w:rPr>
              <w:noProof/>
            </w:rPr>
          </w:pPr>
          <w:hyperlink w:anchor="_Toc241908548" w:history="1">
            <w:r w:rsidRPr="00C51EF0">
              <w:rPr>
                <w:rStyle w:val="Hyperlink"/>
                <w:noProof/>
                <w:color w:val="auto"/>
              </w:rPr>
              <w:t>14.7 Strengthening Biblical Archaeology in African Theological Education</w:t>
            </w:r>
            <w:r w:rsidRPr="00C51EF0">
              <w:rPr>
                <w:noProof/>
              </w:rPr>
              <w:tab/>
            </w:r>
            <w:r w:rsidRPr="00C51EF0">
              <w:rPr>
                <w:noProof/>
              </w:rPr>
              <w:fldChar w:fldCharType="begin"/>
            </w:r>
            <w:r w:rsidRPr="00C51EF0">
              <w:rPr>
                <w:noProof/>
              </w:rPr>
              <w:instrText xml:space="preserve"> PAGEREF _Toc241908548 \h </w:instrText>
            </w:r>
            <w:r w:rsidRPr="00C51EF0">
              <w:rPr>
                <w:noProof/>
              </w:rPr>
            </w:r>
            <w:r w:rsidRPr="00C51EF0">
              <w:rPr>
                <w:noProof/>
              </w:rPr>
              <w:fldChar w:fldCharType="separate"/>
            </w:r>
            <w:r w:rsidRPr="00C51EF0">
              <w:rPr>
                <w:noProof/>
              </w:rPr>
              <w:t>113</w:t>
            </w:r>
            <w:r w:rsidRPr="00C51EF0">
              <w:rPr>
                <w:noProof/>
              </w:rPr>
              <w:fldChar w:fldCharType="end"/>
            </w:r>
          </w:hyperlink>
        </w:p>
        <w:p w:rsidR="00C51EF0" w:rsidRPr="00C51EF0" w:rsidRDefault="00C51EF0">
          <w:pPr>
            <w:pStyle w:val="TOC2"/>
            <w:tabs>
              <w:tab w:val="right" w:leader="dot" w:pos="9016"/>
            </w:tabs>
            <w:rPr>
              <w:noProof/>
            </w:rPr>
          </w:pPr>
          <w:hyperlink w:anchor="_Toc241908549" w:history="1">
            <w:r w:rsidRPr="00C51EF0">
              <w:rPr>
                <w:rStyle w:val="Hyperlink"/>
                <w:noProof/>
                <w:color w:val="auto"/>
              </w:rPr>
              <w:t>14.8 Conclusion of the Course</w:t>
            </w:r>
            <w:r w:rsidRPr="00C51EF0">
              <w:rPr>
                <w:noProof/>
              </w:rPr>
              <w:tab/>
            </w:r>
            <w:r w:rsidRPr="00C51EF0">
              <w:rPr>
                <w:noProof/>
              </w:rPr>
              <w:fldChar w:fldCharType="begin"/>
            </w:r>
            <w:r w:rsidRPr="00C51EF0">
              <w:rPr>
                <w:noProof/>
              </w:rPr>
              <w:instrText xml:space="preserve"> PAGEREF _Toc241908549 \h </w:instrText>
            </w:r>
            <w:r w:rsidRPr="00C51EF0">
              <w:rPr>
                <w:noProof/>
              </w:rPr>
            </w:r>
            <w:r w:rsidRPr="00C51EF0">
              <w:rPr>
                <w:noProof/>
              </w:rPr>
              <w:fldChar w:fldCharType="separate"/>
            </w:r>
            <w:r w:rsidRPr="00C51EF0">
              <w:rPr>
                <w:noProof/>
              </w:rPr>
              <w:t>114</w:t>
            </w:r>
            <w:r w:rsidRPr="00C51EF0">
              <w:rPr>
                <w:noProof/>
              </w:rPr>
              <w:fldChar w:fldCharType="end"/>
            </w:r>
          </w:hyperlink>
        </w:p>
        <w:p w:rsidR="00C51EF0" w:rsidRPr="00C51EF0" w:rsidRDefault="00C51EF0">
          <w:pPr>
            <w:pStyle w:val="TOC2"/>
            <w:tabs>
              <w:tab w:val="right" w:leader="dot" w:pos="9016"/>
            </w:tabs>
            <w:rPr>
              <w:noProof/>
            </w:rPr>
          </w:pPr>
          <w:hyperlink w:anchor="_Toc241908550" w:history="1">
            <w:r w:rsidRPr="00C51EF0">
              <w:rPr>
                <w:rStyle w:val="Hyperlink"/>
                <w:noProof/>
                <w:color w:val="auto"/>
              </w:rPr>
              <w:t>14.9 Summary</w:t>
            </w:r>
            <w:r w:rsidRPr="00C51EF0">
              <w:rPr>
                <w:noProof/>
              </w:rPr>
              <w:tab/>
            </w:r>
            <w:r w:rsidRPr="00C51EF0">
              <w:rPr>
                <w:noProof/>
              </w:rPr>
              <w:fldChar w:fldCharType="begin"/>
            </w:r>
            <w:r w:rsidRPr="00C51EF0">
              <w:rPr>
                <w:noProof/>
              </w:rPr>
              <w:instrText xml:space="preserve"> PAGEREF _Toc241908550 \h </w:instrText>
            </w:r>
            <w:r w:rsidRPr="00C51EF0">
              <w:rPr>
                <w:noProof/>
              </w:rPr>
            </w:r>
            <w:r w:rsidRPr="00C51EF0">
              <w:rPr>
                <w:noProof/>
              </w:rPr>
              <w:fldChar w:fldCharType="separate"/>
            </w:r>
            <w:r w:rsidRPr="00C51EF0">
              <w:rPr>
                <w:noProof/>
              </w:rPr>
              <w:t>115</w:t>
            </w:r>
            <w:r w:rsidRPr="00C51EF0">
              <w:rPr>
                <w:noProof/>
              </w:rPr>
              <w:fldChar w:fldCharType="end"/>
            </w:r>
          </w:hyperlink>
        </w:p>
        <w:p w:rsidR="00C51EF0" w:rsidRPr="00C51EF0" w:rsidRDefault="00C51EF0">
          <w:pPr>
            <w:pStyle w:val="TOC2"/>
            <w:tabs>
              <w:tab w:val="right" w:leader="dot" w:pos="9016"/>
            </w:tabs>
            <w:rPr>
              <w:noProof/>
            </w:rPr>
          </w:pPr>
          <w:hyperlink w:anchor="_Toc241908551" w:history="1">
            <w:r w:rsidRPr="00C51EF0">
              <w:rPr>
                <w:rStyle w:val="Hyperlink"/>
                <w:noProof/>
                <w:color w:val="auto"/>
              </w:rPr>
              <w:t>14.10 Life Application</w:t>
            </w:r>
            <w:r w:rsidRPr="00C51EF0">
              <w:rPr>
                <w:noProof/>
              </w:rPr>
              <w:tab/>
            </w:r>
            <w:r w:rsidRPr="00C51EF0">
              <w:rPr>
                <w:noProof/>
              </w:rPr>
              <w:fldChar w:fldCharType="begin"/>
            </w:r>
            <w:r w:rsidRPr="00C51EF0">
              <w:rPr>
                <w:noProof/>
              </w:rPr>
              <w:instrText xml:space="preserve"> PAGEREF _Toc241908551 \h </w:instrText>
            </w:r>
            <w:r w:rsidRPr="00C51EF0">
              <w:rPr>
                <w:noProof/>
              </w:rPr>
            </w:r>
            <w:r w:rsidRPr="00C51EF0">
              <w:rPr>
                <w:noProof/>
              </w:rPr>
              <w:fldChar w:fldCharType="separate"/>
            </w:r>
            <w:r w:rsidRPr="00C51EF0">
              <w:rPr>
                <w:noProof/>
              </w:rPr>
              <w:t>115</w:t>
            </w:r>
            <w:r w:rsidRPr="00C51EF0">
              <w:rPr>
                <w:noProof/>
              </w:rPr>
              <w:fldChar w:fldCharType="end"/>
            </w:r>
          </w:hyperlink>
        </w:p>
        <w:p w:rsidR="00C51EF0" w:rsidRPr="00C51EF0" w:rsidRDefault="00C51EF0">
          <w:pPr>
            <w:pStyle w:val="TOC2"/>
            <w:tabs>
              <w:tab w:val="right" w:leader="dot" w:pos="9016"/>
            </w:tabs>
            <w:rPr>
              <w:noProof/>
            </w:rPr>
          </w:pPr>
          <w:hyperlink w:anchor="_Toc241908552" w:history="1">
            <w:r w:rsidRPr="00C51EF0">
              <w:rPr>
                <w:rStyle w:val="Hyperlink"/>
                <w:noProof/>
                <w:color w:val="auto"/>
              </w:rPr>
              <w:t>14.11 Discussion Questions</w:t>
            </w:r>
            <w:r w:rsidRPr="00C51EF0">
              <w:rPr>
                <w:noProof/>
              </w:rPr>
              <w:tab/>
            </w:r>
            <w:r w:rsidRPr="00C51EF0">
              <w:rPr>
                <w:noProof/>
              </w:rPr>
              <w:fldChar w:fldCharType="begin"/>
            </w:r>
            <w:r w:rsidRPr="00C51EF0">
              <w:rPr>
                <w:noProof/>
              </w:rPr>
              <w:instrText xml:space="preserve"> PAGEREF _Toc241908552 \h </w:instrText>
            </w:r>
            <w:r w:rsidRPr="00C51EF0">
              <w:rPr>
                <w:noProof/>
              </w:rPr>
            </w:r>
            <w:r w:rsidRPr="00C51EF0">
              <w:rPr>
                <w:noProof/>
              </w:rPr>
              <w:fldChar w:fldCharType="separate"/>
            </w:r>
            <w:r w:rsidRPr="00C51EF0">
              <w:rPr>
                <w:noProof/>
              </w:rPr>
              <w:t>116</w:t>
            </w:r>
            <w:r w:rsidRPr="00C51EF0">
              <w:rPr>
                <w:noProof/>
              </w:rPr>
              <w:fldChar w:fldCharType="end"/>
            </w:r>
          </w:hyperlink>
        </w:p>
        <w:p w:rsidR="00C51EF0" w:rsidRPr="00C51EF0" w:rsidRDefault="00C51EF0">
          <w:pPr>
            <w:pStyle w:val="TOC2"/>
            <w:tabs>
              <w:tab w:val="right" w:leader="dot" w:pos="9016"/>
            </w:tabs>
            <w:rPr>
              <w:noProof/>
            </w:rPr>
          </w:pPr>
          <w:hyperlink w:anchor="_Toc241908553" w:history="1">
            <w:r w:rsidRPr="00C51EF0">
              <w:rPr>
                <w:rStyle w:val="Hyperlink"/>
                <w:noProof/>
                <w:color w:val="auto"/>
              </w:rPr>
              <w:t>14.12 Further Reading</w:t>
            </w:r>
            <w:r w:rsidRPr="00C51EF0">
              <w:rPr>
                <w:noProof/>
              </w:rPr>
              <w:tab/>
            </w:r>
            <w:r w:rsidRPr="00C51EF0">
              <w:rPr>
                <w:noProof/>
              </w:rPr>
              <w:fldChar w:fldCharType="begin"/>
            </w:r>
            <w:r w:rsidRPr="00C51EF0">
              <w:rPr>
                <w:noProof/>
              </w:rPr>
              <w:instrText xml:space="preserve"> PAGEREF _Toc241908553 \h </w:instrText>
            </w:r>
            <w:r w:rsidRPr="00C51EF0">
              <w:rPr>
                <w:noProof/>
              </w:rPr>
            </w:r>
            <w:r w:rsidRPr="00C51EF0">
              <w:rPr>
                <w:noProof/>
              </w:rPr>
              <w:fldChar w:fldCharType="separate"/>
            </w:r>
            <w:r w:rsidRPr="00C51EF0">
              <w:rPr>
                <w:noProof/>
              </w:rPr>
              <w:t>116</w:t>
            </w:r>
            <w:r w:rsidRPr="00C51EF0">
              <w:rPr>
                <w:noProof/>
              </w:rPr>
              <w:fldChar w:fldCharType="end"/>
            </w:r>
          </w:hyperlink>
        </w:p>
        <w:p w:rsidR="00C51EF0" w:rsidRPr="00C51EF0" w:rsidRDefault="00C51EF0">
          <w:pPr>
            <w:pStyle w:val="TOC1"/>
            <w:tabs>
              <w:tab w:val="right" w:leader="dot" w:pos="9016"/>
            </w:tabs>
            <w:rPr>
              <w:noProof/>
            </w:rPr>
          </w:pPr>
          <w:hyperlink w:anchor="_Toc241908554" w:history="1">
            <w:r w:rsidRPr="00C51EF0">
              <w:rPr>
                <w:rStyle w:val="Hyperlink"/>
                <w:noProof/>
                <w:color w:val="auto"/>
              </w:rPr>
              <w:t>APPENDIX I: CHRONOLOGICAL TABLE OF ARCHAEOLOGICAL PERIODS</w:t>
            </w:r>
            <w:r w:rsidRPr="00C51EF0">
              <w:rPr>
                <w:noProof/>
              </w:rPr>
              <w:tab/>
            </w:r>
            <w:r w:rsidRPr="00C51EF0">
              <w:rPr>
                <w:noProof/>
              </w:rPr>
              <w:fldChar w:fldCharType="begin"/>
            </w:r>
            <w:r w:rsidRPr="00C51EF0">
              <w:rPr>
                <w:noProof/>
              </w:rPr>
              <w:instrText xml:space="preserve"> PAGEREF _Toc241908554 \h </w:instrText>
            </w:r>
            <w:r w:rsidRPr="00C51EF0">
              <w:rPr>
                <w:noProof/>
              </w:rPr>
            </w:r>
            <w:r w:rsidRPr="00C51EF0">
              <w:rPr>
                <w:noProof/>
              </w:rPr>
              <w:fldChar w:fldCharType="separate"/>
            </w:r>
            <w:r w:rsidRPr="00C51EF0">
              <w:rPr>
                <w:noProof/>
              </w:rPr>
              <w:t>118</w:t>
            </w:r>
            <w:r w:rsidRPr="00C51EF0">
              <w:rPr>
                <w:noProof/>
              </w:rPr>
              <w:fldChar w:fldCharType="end"/>
            </w:r>
          </w:hyperlink>
        </w:p>
        <w:p w:rsidR="00C51EF0" w:rsidRPr="00C51EF0" w:rsidRDefault="00C51EF0">
          <w:pPr>
            <w:pStyle w:val="TOC1"/>
            <w:tabs>
              <w:tab w:val="right" w:leader="dot" w:pos="9016"/>
            </w:tabs>
            <w:rPr>
              <w:noProof/>
            </w:rPr>
          </w:pPr>
          <w:hyperlink w:anchor="_Toc241908555" w:history="1">
            <w:r w:rsidRPr="00C51EF0">
              <w:rPr>
                <w:rStyle w:val="Hyperlink"/>
                <w:noProof/>
                <w:color w:val="auto"/>
              </w:rPr>
              <w:t>APPENDIX II: GLOSSARY OF TECHNICAL TERMS</w:t>
            </w:r>
            <w:r w:rsidRPr="00C51EF0">
              <w:rPr>
                <w:noProof/>
              </w:rPr>
              <w:tab/>
            </w:r>
            <w:r w:rsidRPr="00C51EF0">
              <w:rPr>
                <w:noProof/>
              </w:rPr>
              <w:fldChar w:fldCharType="begin"/>
            </w:r>
            <w:r w:rsidRPr="00C51EF0">
              <w:rPr>
                <w:noProof/>
              </w:rPr>
              <w:instrText xml:space="preserve"> PAGEREF _Toc241908555 \h </w:instrText>
            </w:r>
            <w:r w:rsidRPr="00C51EF0">
              <w:rPr>
                <w:noProof/>
              </w:rPr>
            </w:r>
            <w:r w:rsidRPr="00C51EF0">
              <w:rPr>
                <w:noProof/>
              </w:rPr>
              <w:fldChar w:fldCharType="separate"/>
            </w:r>
            <w:r w:rsidRPr="00C51EF0">
              <w:rPr>
                <w:noProof/>
              </w:rPr>
              <w:t>119</w:t>
            </w:r>
            <w:r w:rsidRPr="00C51EF0">
              <w:rPr>
                <w:noProof/>
              </w:rPr>
              <w:fldChar w:fldCharType="end"/>
            </w:r>
          </w:hyperlink>
        </w:p>
        <w:p w:rsidR="00C51EF0" w:rsidRPr="00C51EF0" w:rsidRDefault="00C51EF0">
          <w:pPr>
            <w:pStyle w:val="TOC1"/>
            <w:tabs>
              <w:tab w:val="right" w:leader="dot" w:pos="9016"/>
            </w:tabs>
            <w:rPr>
              <w:noProof/>
            </w:rPr>
          </w:pPr>
          <w:hyperlink w:anchor="_Toc241908556" w:history="1">
            <w:r w:rsidRPr="00C51EF0">
              <w:rPr>
                <w:rStyle w:val="Hyperlink"/>
                <w:noProof/>
                <w:color w:val="auto"/>
              </w:rPr>
              <w:t>APPENDIX III: TEN EXAMINATION QUESTIONS</w:t>
            </w:r>
            <w:r w:rsidRPr="00C51EF0">
              <w:rPr>
                <w:noProof/>
              </w:rPr>
              <w:tab/>
            </w:r>
            <w:r w:rsidRPr="00C51EF0">
              <w:rPr>
                <w:noProof/>
              </w:rPr>
              <w:fldChar w:fldCharType="begin"/>
            </w:r>
            <w:r w:rsidRPr="00C51EF0">
              <w:rPr>
                <w:noProof/>
              </w:rPr>
              <w:instrText xml:space="preserve"> PAGEREF _Toc241908556 \h </w:instrText>
            </w:r>
            <w:r w:rsidRPr="00C51EF0">
              <w:rPr>
                <w:noProof/>
              </w:rPr>
            </w:r>
            <w:r w:rsidRPr="00C51EF0">
              <w:rPr>
                <w:noProof/>
              </w:rPr>
              <w:fldChar w:fldCharType="separate"/>
            </w:r>
            <w:r w:rsidRPr="00C51EF0">
              <w:rPr>
                <w:noProof/>
              </w:rPr>
              <w:t>121</w:t>
            </w:r>
            <w:r w:rsidRPr="00C51EF0">
              <w:rPr>
                <w:noProof/>
              </w:rPr>
              <w:fldChar w:fldCharType="end"/>
            </w:r>
          </w:hyperlink>
        </w:p>
        <w:p w:rsidR="00C51EF0" w:rsidRPr="00C51EF0" w:rsidRDefault="00C51EF0">
          <w:pPr>
            <w:pStyle w:val="TOC1"/>
            <w:tabs>
              <w:tab w:val="right" w:leader="dot" w:pos="9016"/>
            </w:tabs>
            <w:rPr>
              <w:noProof/>
            </w:rPr>
          </w:pPr>
          <w:hyperlink w:anchor="_Toc241908557" w:history="1">
            <w:r w:rsidRPr="00C51EF0">
              <w:rPr>
                <w:rStyle w:val="Hyperlink"/>
                <w:noProof/>
                <w:color w:val="auto"/>
              </w:rPr>
              <w:t>NOTES</w:t>
            </w:r>
            <w:r w:rsidRPr="00C51EF0">
              <w:rPr>
                <w:noProof/>
              </w:rPr>
              <w:tab/>
            </w:r>
            <w:r w:rsidRPr="00C51EF0">
              <w:rPr>
                <w:noProof/>
              </w:rPr>
              <w:fldChar w:fldCharType="begin"/>
            </w:r>
            <w:r w:rsidRPr="00C51EF0">
              <w:rPr>
                <w:noProof/>
              </w:rPr>
              <w:instrText xml:space="preserve"> PAGEREF _Toc241908557 \h </w:instrText>
            </w:r>
            <w:r w:rsidRPr="00C51EF0">
              <w:rPr>
                <w:noProof/>
              </w:rPr>
            </w:r>
            <w:r w:rsidRPr="00C51EF0">
              <w:rPr>
                <w:noProof/>
              </w:rPr>
              <w:fldChar w:fldCharType="separate"/>
            </w:r>
            <w:r w:rsidRPr="00C51EF0">
              <w:rPr>
                <w:noProof/>
              </w:rPr>
              <w:t>123</w:t>
            </w:r>
            <w:r w:rsidRPr="00C51EF0">
              <w:rPr>
                <w:noProof/>
              </w:rPr>
              <w:fldChar w:fldCharType="end"/>
            </w:r>
          </w:hyperlink>
        </w:p>
        <w:p w:rsidR="00C51EF0" w:rsidRPr="00C51EF0" w:rsidRDefault="00C51EF0">
          <w:pPr>
            <w:pStyle w:val="TOC2"/>
            <w:tabs>
              <w:tab w:val="right" w:leader="dot" w:pos="9016"/>
            </w:tabs>
            <w:rPr>
              <w:noProof/>
            </w:rPr>
          </w:pPr>
          <w:hyperlink w:anchor="_Toc241908558" w:history="1">
            <w:r w:rsidRPr="00C51EF0">
              <w:rPr>
                <w:rStyle w:val="Hyperlink"/>
                <w:noProof/>
                <w:color w:val="auto"/>
              </w:rPr>
              <w:t>Unit One: Nature, Scope and Purpose of Biblical Archaeology</w:t>
            </w:r>
            <w:r w:rsidRPr="00C51EF0">
              <w:rPr>
                <w:noProof/>
              </w:rPr>
              <w:tab/>
            </w:r>
            <w:r w:rsidRPr="00C51EF0">
              <w:rPr>
                <w:noProof/>
              </w:rPr>
              <w:fldChar w:fldCharType="begin"/>
            </w:r>
            <w:r w:rsidRPr="00C51EF0">
              <w:rPr>
                <w:noProof/>
              </w:rPr>
              <w:instrText xml:space="preserve"> PAGEREF _Toc241908558 \h </w:instrText>
            </w:r>
            <w:r w:rsidRPr="00C51EF0">
              <w:rPr>
                <w:noProof/>
              </w:rPr>
            </w:r>
            <w:r w:rsidRPr="00C51EF0">
              <w:rPr>
                <w:noProof/>
              </w:rPr>
              <w:fldChar w:fldCharType="separate"/>
            </w:r>
            <w:r w:rsidRPr="00C51EF0">
              <w:rPr>
                <w:noProof/>
              </w:rPr>
              <w:t>123</w:t>
            </w:r>
            <w:r w:rsidRPr="00C51EF0">
              <w:rPr>
                <w:noProof/>
              </w:rPr>
              <w:fldChar w:fldCharType="end"/>
            </w:r>
          </w:hyperlink>
        </w:p>
        <w:p w:rsidR="00C51EF0" w:rsidRPr="00C51EF0" w:rsidRDefault="00C51EF0">
          <w:pPr>
            <w:pStyle w:val="TOC2"/>
            <w:tabs>
              <w:tab w:val="right" w:leader="dot" w:pos="9016"/>
            </w:tabs>
            <w:rPr>
              <w:noProof/>
            </w:rPr>
          </w:pPr>
          <w:hyperlink w:anchor="_Toc241908559" w:history="1">
            <w:r w:rsidRPr="00C51EF0">
              <w:rPr>
                <w:rStyle w:val="Hyperlink"/>
                <w:noProof/>
                <w:color w:val="auto"/>
              </w:rPr>
              <w:t>Unit Two: The History of Biblical Archaeology</w:t>
            </w:r>
            <w:r w:rsidRPr="00C51EF0">
              <w:rPr>
                <w:noProof/>
              </w:rPr>
              <w:tab/>
            </w:r>
            <w:r w:rsidRPr="00C51EF0">
              <w:rPr>
                <w:noProof/>
              </w:rPr>
              <w:fldChar w:fldCharType="begin"/>
            </w:r>
            <w:r w:rsidRPr="00C51EF0">
              <w:rPr>
                <w:noProof/>
              </w:rPr>
              <w:instrText xml:space="preserve"> PAGEREF _Toc241908559 \h </w:instrText>
            </w:r>
            <w:r w:rsidRPr="00C51EF0">
              <w:rPr>
                <w:noProof/>
              </w:rPr>
            </w:r>
            <w:r w:rsidRPr="00C51EF0">
              <w:rPr>
                <w:noProof/>
              </w:rPr>
              <w:fldChar w:fldCharType="separate"/>
            </w:r>
            <w:r w:rsidRPr="00C51EF0">
              <w:rPr>
                <w:noProof/>
              </w:rPr>
              <w:t>123</w:t>
            </w:r>
            <w:r w:rsidRPr="00C51EF0">
              <w:rPr>
                <w:noProof/>
              </w:rPr>
              <w:fldChar w:fldCharType="end"/>
            </w:r>
          </w:hyperlink>
        </w:p>
        <w:p w:rsidR="00C51EF0" w:rsidRPr="00C51EF0" w:rsidRDefault="00C51EF0">
          <w:pPr>
            <w:pStyle w:val="TOC2"/>
            <w:tabs>
              <w:tab w:val="right" w:leader="dot" w:pos="9016"/>
            </w:tabs>
            <w:rPr>
              <w:noProof/>
            </w:rPr>
          </w:pPr>
          <w:hyperlink w:anchor="_Toc241908560" w:history="1">
            <w:r w:rsidRPr="00C51EF0">
              <w:rPr>
                <w:rStyle w:val="Hyperlink"/>
                <w:noProof/>
                <w:color w:val="auto"/>
              </w:rPr>
              <w:t>Unit Three: Methods of Archaeological Research</w:t>
            </w:r>
            <w:r w:rsidRPr="00C51EF0">
              <w:rPr>
                <w:noProof/>
              </w:rPr>
              <w:tab/>
            </w:r>
            <w:r w:rsidRPr="00C51EF0">
              <w:rPr>
                <w:noProof/>
              </w:rPr>
              <w:fldChar w:fldCharType="begin"/>
            </w:r>
            <w:r w:rsidRPr="00C51EF0">
              <w:rPr>
                <w:noProof/>
              </w:rPr>
              <w:instrText xml:space="preserve"> PAGEREF _Toc241908560 \h </w:instrText>
            </w:r>
            <w:r w:rsidRPr="00C51EF0">
              <w:rPr>
                <w:noProof/>
              </w:rPr>
            </w:r>
            <w:r w:rsidRPr="00C51EF0">
              <w:rPr>
                <w:noProof/>
              </w:rPr>
              <w:fldChar w:fldCharType="separate"/>
            </w:r>
            <w:r w:rsidRPr="00C51EF0">
              <w:rPr>
                <w:noProof/>
              </w:rPr>
              <w:t>124</w:t>
            </w:r>
            <w:r w:rsidRPr="00C51EF0">
              <w:rPr>
                <w:noProof/>
              </w:rPr>
              <w:fldChar w:fldCharType="end"/>
            </w:r>
          </w:hyperlink>
        </w:p>
        <w:p w:rsidR="00C51EF0" w:rsidRPr="00C51EF0" w:rsidRDefault="00C51EF0">
          <w:pPr>
            <w:pStyle w:val="TOC2"/>
            <w:tabs>
              <w:tab w:val="right" w:leader="dot" w:pos="9016"/>
            </w:tabs>
            <w:rPr>
              <w:noProof/>
            </w:rPr>
          </w:pPr>
          <w:hyperlink w:anchor="_Toc241908561" w:history="1">
            <w:r w:rsidRPr="00C51EF0">
              <w:rPr>
                <w:rStyle w:val="Hyperlink"/>
                <w:noProof/>
                <w:color w:val="auto"/>
              </w:rPr>
              <w:t>Unit Four: Archaeology, History and Biblical Interpretation</w:t>
            </w:r>
            <w:r w:rsidRPr="00C51EF0">
              <w:rPr>
                <w:noProof/>
              </w:rPr>
              <w:tab/>
            </w:r>
            <w:r w:rsidRPr="00C51EF0">
              <w:rPr>
                <w:noProof/>
              </w:rPr>
              <w:fldChar w:fldCharType="begin"/>
            </w:r>
            <w:r w:rsidRPr="00C51EF0">
              <w:rPr>
                <w:noProof/>
              </w:rPr>
              <w:instrText xml:space="preserve"> PAGEREF _Toc241908561 \h </w:instrText>
            </w:r>
            <w:r w:rsidRPr="00C51EF0">
              <w:rPr>
                <w:noProof/>
              </w:rPr>
            </w:r>
            <w:r w:rsidRPr="00C51EF0">
              <w:rPr>
                <w:noProof/>
              </w:rPr>
              <w:fldChar w:fldCharType="separate"/>
            </w:r>
            <w:r w:rsidRPr="00C51EF0">
              <w:rPr>
                <w:noProof/>
              </w:rPr>
              <w:t>124</w:t>
            </w:r>
            <w:r w:rsidRPr="00C51EF0">
              <w:rPr>
                <w:noProof/>
              </w:rPr>
              <w:fldChar w:fldCharType="end"/>
            </w:r>
          </w:hyperlink>
        </w:p>
        <w:p w:rsidR="00C51EF0" w:rsidRPr="00C51EF0" w:rsidRDefault="00C51EF0">
          <w:pPr>
            <w:pStyle w:val="TOC2"/>
            <w:tabs>
              <w:tab w:val="right" w:leader="dot" w:pos="9016"/>
            </w:tabs>
            <w:rPr>
              <w:noProof/>
            </w:rPr>
          </w:pPr>
          <w:hyperlink w:anchor="_Toc241908562" w:history="1">
            <w:r w:rsidRPr="00C51EF0">
              <w:rPr>
                <w:rStyle w:val="Hyperlink"/>
                <w:noProof/>
                <w:color w:val="auto"/>
              </w:rPr>
              <w:t>Unit Five: The Ancient Near Eastern World and the Bible</w:t>
            </w:r>
            <w:r w:rsidRPr="00C51EF0">
              <w:rPr>
                <w:noProof/>
              </w:rPr>
              <w:tab/>
            </w:r>
            <w:r w:rsidRPr="00C51EF0">
              <w:rPr>
                <w:noProof/>
              </w:rPr>
              <w:fldChar w:fldCharType="begin"/>
            </w:r>
            <w:r w:rsidRPr="00C51EF0">
              <w:rPr>
                <w:noProof/>
              </w:rPr>
              <w:instrText xml:space="preserve"> PAGEREF _Toc241908562 \h </w:instrText>
            </w:r>
            <w:r w:rsidRPr="00C51EF0">
              <w:rPr>
                <w:noProof/>
              </w:rPr>
            </w:r>
            <w:r w:rsidRPr="00C51EF0">
              <w:rPr>
                <w:noProof/>
              </w:rPr>
              <w:fldChar w:fldCharType="separate"/>
            </w:r>
            <w:r w:rsidRPr="00C51EF0">
              <w:rPr>
                <w:noProof/>
              </w:rPr>
              <w:t>124</w:t>
            </w:r>
            <w:r w:rsidRPr="00C51EF0">
              <w:rPr>
                <w:noProof/>
              </w:rPr>
              <w:fldChar w:fldCharType="end"/>
            </w:r>
          </w:hyperlink>
        </w:p>
        <w:p w:rsidR="00C51EF0" w:rsidRPr="00C51EF0" w:rsidRDefault="00C51EF0">
          <w:pPr>
            <w:pStyle w:val="TOC2"/>
            <w:tabs>
              <w:tab w:val="right" w:leader="dot" w:pos="9016"/>
            </w:tabs>
            <w:rPr>
              <w:noProof/>
            </w:rPr>
          </w:pPr>
          <w:hyperlink w:anchor="_Toc241908563" w:history="1">
            <w:r w:rsidRPr="00C51EF0">
              <w:rPr>
                <w:rStyle w:val="Hyperlink"/>
                <w:noProof/>
                <w:color w:val="auto"/>
              </w:rPr>
              <w:t>Unit Six: Archaeology and the Patriarchal Narratives</w:t>
            </w:r>
            <w:r w:rsidRPr="00C51EF0">
              <w:rPr>
                <w:noProof/>
              </w:rPr>
              <w:tab/>
            </w:r>
            <w:r w:rsidRPr="00C51EF0">
              <w:rPr>
                <w:noProof/>
              </w:rPr>
              <w:fldChar w:fldCharType="begin"/>
            </w:r>
            <w:r w:rsidRPr="00C51EF0">
              <w:rPr>
                <w:noProof/>
              </w:rPr>
              <w:instrText xml:space="preserve"> PAGEREF _Toc241908563 \h </w:instrText>
            </w:r>
            <w:r w:rsidRPr="00C51EF0">
              <w:rPr>
                <w:noProof/>
              </w:rPr>
            </w:r>
            <w:r w:rsidRPr="00C51EF0">
              <w:rPr>
                <w:noProof/>
              </w:rPr>
              <w:fldChar w:fldCharType="separate"/>
            </w:r>
            <w:r w:rsidRPr="00C51EF0">
              <w:rPr>
                <w:noProof/>
              </w:rPr>
              <w:t>125</w:t>
            </w:r>
            <w:r w:rsidRPr="00C51EF0">
              <w:rPr>
                <w:noProof/>
              </w:rPr>
              <w:fldChar w:fldCharType="end"/>
            </w:r>
          </w:hyperlink>
        </w:p>
        <w:p w:rsidR="00C51EF0" w:rsidRPr="00C51EF0" w:rsidRDefault="00C51EF0">
          <w:pPr>
            <w:pStyle w:val="TOC2"/>
            <w:tabs>
              <w:tab w:val="right" w:leader="dot" w:pos="9016"/>
            </w:tabs>
            <w:rPr>
              <w:noProof/>
            </w:rPr>
          </w:pPr>
          <w:hyperlink w:anchor="_Toc241908564" w:history="1">
            <w:r w:rsidRPr="00C51EF0">
              <w:rPr>
                <w:rStyle w:val="Hyperlink"/>
                <w:noProof/>
                <w:color w:val="auto"/>
              </w:rPr>
              <w:t>Unit Seven: The Exodus and the Settlement in Canaan</w:t>
            </w:r>
            <w:r w:rsidRPr="00C51EF0">
              <w:rPr>
                <w:noProof/>
              </w:rPr>
              <w:tab/>
            </w:r>
            <w:r w:rsidRPr="00C51EF0">
              <w:rPr>
                <w:noProof/>
              </w:rPr>
              <w:fldChar w:fldCharType="begin"/>
            </w:r>
            <w:r w:rsidRPr="00C51EF0">
              <w:rPr>
                <w:noProof/>
              </w:rPr>
              <w:instrText xml:space="preserve"> PAGEREF _Toc241908564 \h </w:instrText>
            </w:r>
            <w:r w:rsidRPr="00C51EF0">
              <w:rPr>
                <w:noProof/>
              </w:rPr>
            </w:r>
            <w:r w:rsidRPr="00C51EF0">
              <w:rPr>
                <w:noProof/>
              </w:rPr>
              <w:fldChar w:fldCharType="separate"/>
            </w:r>
            <w:r w:rsidRPr="00C51EF0">
              <w:rPr>
                <w:noProof/>
              </w:rPr>
              <w:t>125</w:t>
            </w:r>
            <w:r w:rsidRPr="00C51EF0">
              <w:rPr>
                <w:noProof/>
              </w:rPr>
              <w:fldChar w:fldCharType="end"/>
            </w:r>
          </w:hyperlink>
        </w:p>
        <w:p w:rsidR="00C51EF0" w:rsidRPr="00C51EF0" w:rsidRDefault="00C51EF0">
          <w:pPr>
            <w:pStyle w:val="TOC2"/>
            <w:tabs>
              <w:tab w:val="right" w:leader="dot" w:pos="9016"/>
            </w:tabs>
            <w:rPr>
              <w:noProof/>
            </w:rPr>
          </w:pPr>
          <w:hyperlink w:anchor="_Toc241908565" w:history="1">
            <w:r w:rsidRPr="00C51EF0">
              <w:rPr>
                <w:rStyle w:val="Hyperlink"/>
                <w:noProof/>
                <w:color w:val="auto"/>
              </w:rPr>
              <w:t>Unit Eight: The United Monarchy: David and Solomon</w:t>
            </w:r>
            <w:r w:rsidRPr="00C51EF0">
              <w:rPr>
                <w:noProof/>
              </w:rPr>
              <w:tab/>
            </w:r>
            <w:r w:rsidRPr="00C51EF0">
              <w:rPr>
                <w:noProof/>
              </w:rPr>
              <w:fldChar w:fldCharType="begin"/>
            </w:r>
            <w:r w:rsidRPr="00C51EF0">
              <w:rPr>
                <w:noProof/>
              </w:rPr>
              <w:instrText xml:space="preserve"> PAGEREF _Toc241908565 \h </w:instrText>
            </w:r>
            <w:r w:rsidRPr="00C51EF0">
              <w:rPr>
                <w:noProof/>
              </w:rPr>
            </w:r>
            <w:r w:rsidRPr="00C51EF0">
              <w:rPr>
                <w:noProof/>
              </w:rPr>
              <w:fldChar w:fldCharType="separate"/>
            </w:r>
            <w:r w:rsidRPr="00C51EF0">
              <w:rPr>
                <w:noProof/>
              </w:rPr>
              <w:t>126</w:t>
            </w:r>
            <w:r w:rsidRPr="00C51EF0">
              <w:rPr>
                <w:noProof/>
              </w:rPr>
              <w:fldChar w:fldCharType="end"/>
            </w:r>
          </w:hyperlink>
        </w:p>
        <w:p w:rsidR="00C51EF0" w:rsidRPr="00C51EF0" w:rsidRDefault="00C51EF0">
          <w:pPr>
            <w:pStyle w:val="TOC2"/>
            <w:tabs>
              <w:tab w:val="right" w:leader="dot" w:pos="9016"/>
            </w:tabs>
            <w:rPr>
              <w:noProof/>
            </w:rPr>
          </w:pPr>
          <w:hyperlink w:anchor="_Toc241908566" w:history="1">
            <w:r w:rsidRPr="00C51EF0">
              <w:rPr>
                <w:rStyle w:val="Hyperlink"/>
                <w:noProof/>
                <w:color w:val="auto"/>
              </w:rPr>
              <w:t>Unit Nine: The Divided Kingdom, the Exile and the Return</w:t>
            </w:r>
            <w:r w:rsidRPr="00C51EF0">
              <w:rPr>
                <w:noProof/>
              </w:rPr>
              <w:tab/>
            </w:r>
            <w:r w:rsidRPr="00C51EF0">
              <w:rPr>
                <w:noProof/>
              </w:rPr>
              <w:fldChar w:fldCharType="begin"/>
            </w:r>
            <w:r w:rsidRPr="00C51EF0">
              <w:rPr>
                <w:noProof/>
              </w:rPr>
              <w:instrText xml:space="preserve"> PAGEREF _Toc241908566 \h </w:instrText>
            </w:r>
            <w:r w:rsidRPr="00C51EF0">
              <w:rPr>
                <w:noProof/>
              </w:rPr>
            </w:r>
            <w:r w:rsidRPr="00C51EF0">
              <w:rPr>
                <w:noProof/>
              </w:rPr>
              <w:fldChar w:fldCharType="separate"/>
            </w:r>
            <w:r w:rsidRPr="00C51EF0">
              <w:rPr>
                <w:noProof/>
              </w:rPr>
              <w:t>126</w:t>
            </w:r>
            <w:r w:rsidRPr="00C51EF0">
              <w:rPr>
                <w:noProof/>
              </w:rPr>
              <w:fldChar w:fldCharType="end"/>
            </w:r>
          </w:hyperlink>
        </w:p>
        <w:p w:rsidR="00C51EF0" w:rsidRPr="00C51EF0" w:rsidRDefault="00C51EF0">
          <w:pPr>
            <w:pStyle w:val="TOC2"/>
            <w:tabs>
              <w:tab w:val="right" w:leader="dot" w:pos="9016"/>
            </w:tabs>
            <w:rPr>
              <w:noProof/>
            </w:rPr>
          </w:pPr>
          <w:hyperlink w:anchor="_Toc241908567" w:history="1">
            <w:r w:rsidRPr="00C51EF0">
              <w:rPr>
                <w:rStyle w:val="Hyperlink"/>
                <w:noProof/>
                <w:color w:val="auto"/>
              </w:rPr>
              <w:t>Unit Ten: The Dead Sea Scrolls and the World of Second Temple Judaism</w:t>
            </w:r>
            <w:r w:rsidRPr="00C51EF0">
              <w:rPr>
                <w:noProof/>
              </w:rPr>
              <w:tab/>
            </w:r>
            <w:r w:rsidRPr="00C51EF0">
              <w:rPr>
                <w:noProof/>
              </w:rPr>
              <w:fldChar w:fldCharType="begin"/>
            </w:r>
            <w:r w:rsidRPr="00C51EF0">
              <w:rPr>
                <w:noProof/>
              </w:rPr>
              <w:instrText xml:space="preserve"> PAGEREF _Toc241908567 \h </w:instrText>
            </w:r>
            <w:r w:rsidRPr="00C51EF0">
              <w:rPr>
                <w:noProof/>
              </w:rPr>
            </w:r>
            <w:r w:rsidRPr="00C51EF0">
              <w:rPr>
                <w:noProof/>
              </w:rPr>
              <w:fldChar w:fldCharType="separate"/>
            </w:r>
            <w:r w:rsidRPr="00C51EF0">
              <w:rPr>
                <w:noProof/>
              </w:rPr>
              <w:t>127</w:t>
            </w:r>
            <w:r w:rsidRPr="00C51EF0">
              <w:rPr>
                <w:noProof/>
              </w:rPr>
              <w:fldChar w:fldCharType="end"/>
            </w:r>
          </w:hyperlink>
        </w:p>
        <w:p w:rsidR="00C51EF0" w:rsidRPr="00C51EF0" w:rsidRDefault="00C51EF0">
          <w:pPr>
            <w:pStyle w:val="TOC2"/>
            <w:tabs>
              <w:tab w:val="right" w:leader="dot" w:pos="9016"/>
            </w:tabs>
            <w:rPr>
              <w:noProof/>
            </w:rPr>
          </w:pPr>
          <w:hyperlink w:anchor="_Toc241908568" w:history="1">
            <w:r w:rsidRPr="00C51EF0">
              <w:rPr>
                <w:rStyle w:val="Hyperlink"/>
                <w:noProof/>
                <w:color w:val="auto"/>
              </w:rPr>
              <w:t>Unit Eleven: Archaeology and the Gospels</w:t>
            </w:r>
            <w:r w:rsidRPr="00C51EF0">
              <w:rPr>
                <w:noProof/>
              </w:rPr>
              <w:tab/>
            </w:r>
            <w:r w:rsidRPr="00C51EF0">
              <w:rPr>
                <w:noProof/>
              </w:rPr>
              <w:fldChar w:fldCharType="begin"/>
            </w:r>
            <w:r w:rsidRPr="00C51EF0">
              <w:rPr>
                <w:noProof/>
              </w:rPr>
              <w:instrText xml:space="preserve"> PAGEREF _Toc241908568 \h </w:instrText>
            </w:r>
            <w:r w:rsidRPr="00C51EF0">
              <w:rPr>
                <w:noProof/>
              </w:rPr>
            </w:r>
            <w:r w:rsidRPr="00C51EF0">
              <w:rPr>
                <w:noProof/>
              </w:rPr>
              <w:fldChar w:fldCharType="separate"/>
            </w:r>
            <w:r w:rsidRPr="00C51EF0">
              <w:rPr>
                <w:noProof/>
              </w:rPr>
              <w:t>127</w:t>
            </w:r>
            <w:r w:rsidRPr="00C51EF0">
              <w:rPr>
                <w:noProof/>
              </w:rPr>
              <w:fldChar w:fldCharType="end"/>
            </w:r>
          </w:hyperlink>
        </w:p>
        <w:p w:rsidR="00C51EF0" w:rsidRPr="00C51EF0" w:rsidRDefault="00C51EF0">
          <w:pPr>
            <w:pStyle w:val="TOC2"/>
            <w:tabs>
              <w:tab w:val="right" w:leader="dot" w:pos="9016"/>
            </w:tabs>
            <w:rPr>
              <w:noProof/>
            </w:rPr>
          </w:pPr>
          <w:hyperlink w:anchor="_Toc241908569" w:history="1">
            <w:r w:rsidRPr="00C51EF0">
              <w:rPr>
                <w:rStyle w:val="Hyperlink"/>
                <w:noProof/>
                <w:color w:val="auto"/>
              </w:rPr>
              <w:t>Unit Twelve: Archaeology, Acts and the Early Church</w:t>
            </w:r>
            <w:r w:rsidRPr="00C51EF0">
              <w:rPr>
                <w:noProof/>
              </w:rPr>
              <w:tab/>
            </w:r>
            <w:r w:rsidRPr="00C51EF0">
              <w:rPr>
                <w:noProof/>
              </w:rPr>
              <w:fldChar w:fldCharType="begin"/>
            </w:r>
            <w:r w:rsidRPr="00C51EF0">
              <w:rPr>
                <w:noProof/>
              </w:rPr>
              <w:instrText xml:space="preserve"> PAGEREF _Toc241908569 \h </w:instrText>
            </w:r>
            <w:r w:rsidRPr="00C51EF0">
              <w:rPr>
                <w:noProof/>
              </w:rPr>
            </w:r>
            <w:r w:rsidRPr="00C51EF0">
              <w:rPr>
                <w:noProof/>
              </w:rPr>
              <w:fldChar w:fldCharType="separate"/>
            </w:r>
            <w:r w:rsidRPr="00C51EF0">
              <w:rPr>
                <w:noProof/>
              </w:rPr>
              <w:t>128</w:t>
            </w:r>
            <w:r w:rsidRPr="00C51EF0">
              <w:rPr>
                <w:noProof/>
              </w:rPr>
              <w:fldChar w:fldCharType="end"/>
            </w:r>
          </w:hyperlink>
        </w:p>
        <w:p w:rsidR="00C51EF0" w:rsidRPr="00C51EF0" w:rsidRDefault="00C51EF0">
          <w:pPr>
            <w:pStyle w:val="TOC2"/>
            <w:tabs>
              <w:tab w:val="right" w:leader="dot" w:pos="9016"/>
            </w:tabs>
            <w:rPr>
              <w:noProof/>
            </w:rPr>
          </w:pPr>
          <w:hyperlink w:anchor="_Toc241908570" w:history="1">
            <w:r w:rsidRPr="00C51EF0">
              <w:rPr>
                <w:rStyle w:val="Hyperlink"/>
                <w:noProof/>
                <w:color w:val="auto"/>
              </w:rPr>
              <w:t>Unit Thirteen: Ethics, Forgeries and the Antiquities Trade</w:t>
            </w:r>
            <w:r w:rsidRPr="00C51EF0">
              <w:rPr>
                <w:noProof/>
              </w:rPr>
              <w:tab/>
            </w:r>
            <w:r w:rsidRPr="00C51EF0">
              <w:rPr>
                <w:noProof/>
              </w:rPr>
              <w:fldChar w:fldCharType="begin"/>
            </w:r>
            <w:r w:rsidRPr="00C51EF0">
              <w:rPr>
                <w:noProof/>
              </w:rPr>
              <w:instrText xml:space="preserve"> PAGEREF _Toc241908570 \h </w:instrText>
            </w:r>
            <w:r w:rsidRPr="00C51EF0">
              <w:rPr>
                <w:noProof/>
              </w:rPr>
            </w:r>
            <w:r w:rsidRPr="00C51EF0">
              <w:rPr>
                <w:noProof/>
              </w:rPr>
              <w:fldChar w:fldCharType="separate"/>
            </w:r>
            <w:r w:rsidRPr="00C51EF0">
              <w:rPr>
                <w:noProof/>
              </w:rPr>
              <w:t>128</w:t>
            </w:r>
            <w:r w:rsidRPr="00C51EF0">
              <w:rPr>
                <w:noProof/>
              </w:rPr>
              <w:fldChar w:fldCharType="end"/>
            </w:r>
          </w:hyperlink>
        </w:p>
        <w:p w:rsidR="00C51EF0" w:rsidRPr="00C51EF0" w:rsidRDefault="00C51EF0">
          <w:pPr>
            <w:pStyle w:val="TOC2"/>
            <w:tabs>
              <w:tab w:val="right" w:leader="dot" w:pos="9016"/>
            </w:tabs>
            <w:rPr>
              <w:noProof/>
            </w:rPr>
          </w:pPr>
          <w:hyperlink w:anchor="_Toc241908571" w:history="1">
            <w:r w:rsidRPr="00C51EF0">
              <w:rPr>
                <w:rStyle w:val="Hyperlink"/>
                <w:noProof/>
                <w:color w:val="auto"/>
              </w:rPr>
              <w:t>Unit Fourteen: Africa, Archaeology and the Bible: Implications for the African Church</w:t>
            </w:r>
            <w:r w:rsidRPr="00C51EF0">
              <w:rPr>
                <w:noProof/>
              </w:rPr>
              <w:tab/>
            </w:r>
            <w:r w:rsidRPr="00C51EF0">
              <w:rPr>
                <w:noProof/>
              </w:rPr>
              <w:fldChar w:fldCharType="begin"/>
            </w:r>
            <w:r w:rsidRPr="00C51EF0">
              <w:rPr>
                <w:noProof/>
              </w:rPr>
              <w:instrText xml:space="preserve"> PAGEREF _Toc241908571 \h </w:instrText>
            </w:r>
            <w:r w:rsidRPr="00C51EF0">
              <w:rPr>
                <w:noProof/>
              </w:rPr>
            </w:r>
            <w:r w:rsidRPr="00C51EF0">
              <w:rPr>
                <w:noProof/>
              </w:rPr>
              <w:fldChar w:fldCharType="separate"/>
            </w:r>
            <w:r w:rsidRPr="00C51EF0">
              <w:rPr>
                <w:noProof/>
              </w:rPr>
              <w:t>128</w:t>
            </w:r>
            <w:r w:rsidRPr="00C51EF0">
              <w:rPr>
                <w:noProof/>
              </w:rPr>
              <w:fldChar w:fldCharType="end"/>
            </w:r>
          </w:hyperlink>
        </w:p>
        <w:p w:rsidR="00C51EF0" w:rsidRPr="00C51EF0" w:rsidRDefault="00C51EF0">
          <w:pPr>
            <w:pStyle w:val="TOC1"/>
            <w:tabs>
              <w:tab w:val="right" w:leader="dot" w:pos="9016"/>
            </w:tabs>
            <w:rPr>
              <w:noProof/>
            </w:rPr>
          </w:pPr>
          <w:hyperlink w:anchor="_Toc241908572" w:history="1">
            <w:r w:rsidRPr="00C51EF0">
              <w:rPr>
                <w:rStyle w:val="Hyperlink"/>
                <w:noProof/>
                <w:color w:val="auto"/>
              </w:rPr>
              <w:t>BIBLIOGRAPHY</w:t>
            </w:r>
            <w:r w:rsidRPr="00C51EF0">
              <w:rPr>
                <w:noProof/>
              </w:rPr>
              <w:tab/>
            </w:r>
            <w:r w:rsidRPr="00C51EF0">
              <w:rPr>
                <w:noProof/>
              </w:rPr>
              <w:fldChar w:fldCharType="begin"/>
            </w:r>
            <w:r w:rsidRPr="00C51EF0">
              <w:rPr>
                <w:noProof/>
              </w:rPr>
              <w:instrText xml:space="preserve"> PAGEREF _Toc241908572 \h </w:instrText>
            </w:r>
            <w:r w:rsidRPr="00C51EF0">
              <w:rPr>
                <w:noProof/>
              </w:rPr>
            </w:r>
            <w:r w:rsidRPr="00C51EF0">
              <w:rPr>
                <w:noProof/>
              </w:rPr>
              <w:fldChar w:fldCharType="separate"/>
            </w:r>
            <w:r w:rsidRPr="00C51EF0">
              <w:rPr>
                <w:noProof/>
              </w:rPr>
              <w:t>130</w:t>
            </w:r>
            <w:r w:rsidRPr="00C51EF0">
              <w:rPr>
                <w:noProof/>
              </w:rPr>
              <w:fldChar w:fldCharType="end"/>
            </w:r>
          </w:hyperlink>
        </w:p>
        <w:p w:rsidR="008E4B08" w:rsidRDefault="00C51EF0">
          <w:r w:rsidRPr="00C51EF0">
            <w:fldChar w:fldCharType="end"/>
          </w:r>
        </w:p>
      </w:sdtContent>
    </w:sdt>
    <w:p w:rsidR="008E4B08" w:rsidRDefault="00C51EF0">
      <w:r>
        <w:br w:type="page"/>
      </w:r>
    </w:p>
    <w:p w:rsidR="008E4B08" w:rsidRDefault="00C51EF0">
      <w:pPr>
        <w:pStyle w:val="Heading1"/>
        <w:spacing w:after="360" w:line="360" w:lineRule="auto"/>
        <w:jc w:val="center"/>
      </w:pPr>
      <w:bookmarkStart w:id="1" w:name="_Toc241908361"/>
      <w:r>
        <w:lastRenderedPageBreak/>
        <w:t>COURSE INFORMATION</w:t>
      </w:r>
      <w:bookmarkEnd w:id="1"/>
    </w:p>
    <w:p w:rsidR="008E4B08" w:rsidRDefault="00C51EF0">
      <w:pPr>
        <w:pStyle w:val="Heading2"/>
        <w:keepNext/>
        <w:spacing w:before="240" w:after="120" w:line="360" w:lineRule="auto"/>
      </w:pPr>
      <w:bookmarkStart w:id="2" w:name="_Toc241908362"/>
      <w:r>
        <w:t>Course Title</w:t>
      </w:r>
      <w:bookmarkEnd w:id="2"/>
    </w:p>
    <w:p w:rsidR="008E4B08" w:rsidRDefault="00C51EF0">
      <w:pPr>
        <w:spacing w:line="480" w:lineRule="auto"/>
        <w:jc w:val="both"/>
      </w:pPr>
      <w:r>
        <w:t>Archaeology and the Bible</w:t>
      </w:r>
    </w:p>
    <w:p w:rsidR="008E4B08" w:rsidRDefault="00C51EF0">
      <w:pPr>
        <w:pStyle w:val="Heading2"/>
        <w:keepNext/>
        <w:spacing w:before="240" w:after="120" w:line="360" w:lineRule="auto"/>
      </w:pPr>
      <w:bookmarkStart w:id="3" w:name="_Toc241908363"/>
      <w:r>
        <w:t>Course Level and Credit</w:t>
      </w:r>
      <w:bookmarkEnd w:id="3"/>
    </w:p>
    <w:p w:rsidR="008E4B08" w:rsidRDefault="00C51EF0">
      <w:pPr>
        <w:spacing w:line="480" w:lineRule="auto"/>
        <w:jc w:val="both"/>
      </w:pPr>
      <w:r>
        <w:t>Doctor of Philosophy (Ph.D.), Biblical Studies. Three credit units, taught over one semester of fourteen weeks.</w:t>
      </w:r>
    </w:p>
    <w:p w:rsidR="008E4B08" w:rsidRDefault="00C51EF0">
      <w:pPr>
        <w:pStyle w:val="Heading2"/>
        <w:keepNext/>
        <w:spacing w:before="240" w:after="120" w:line="360" w:lineRule="auto"/>
      </w:pPr>
      <w:bookmarkStart w:id="4" w:name="_Toc241908364"/>
      <w:r>
        <w:t>Course Description</w:t>
      </w:r>
      <w:bookmarkEnd w:id="4"/>
    </w:p>
    <w:p w:rsidR="008E4B08" w:rsidRDefault="00C51EF0">
      <w:pPr>
        <w:spacing w:line="480" w:lineRule="auto"/>
        <w:jc w:val="both"/>
      </w:pPr>
      <w:r>
        <w:t>This course introduces doctoral students to biblical archaeology and to the main debates about how it should be used in interpreting the Old and New Testaments. It tells the story of the discipline from the explorers of the nineteenth century to the scientific archaeology of today, and it explains how archaeologists dig, date and interpret ancient remains. The course then follows the biblical story from Abraham to the churches of the Book of Revelation. At each stage it asks two questions: what does the evidence from the ground add to our understanding of the Bible, and where do the Bible and the ground seem to disagree?</w:t>
      </w:r>
    </w:p>
    <w:p w:rsidR="008E4B08" w:rsidRDefault="00C51EF0">
      <w:pPr>
        <w:spacing w:line="480" w:lineRule="auto"/>
        <w:ind w:firstLine="720"/>
        <w:jc w:val="both"/>
      </w:pPr>
      <w:r>
        <w:t xml:space="preserve">The course does not use archaeology to "prove" the Bible, nor to attack it. Instead, it treats archaeology as an independent witness to the ancient world, whose evidence must be weighed with the same care and honesty that we bring to the Bible itself. Special attention is given to the questions of method that divide scholars, to the major discoveries, to the problems of looting and forgery, and to the place of Africa in the biblical world. Throughout, students are encouraged to think about how archaeology can support faithful preaching, teaching and </w:t>
      </w:r>
      <w:proofErr w:type="spellStart"/>
      <w:r>
        <w:t>defence</w:t>
      </w:r>
      <w:proofErr w:type="spellEnd"/>
      <w:r>
        <w:t xml:space="preserve"> of the faith in the African church. Each main section includes examples, many from everyday Nigerian and African life, to make the ideas clear.</w:t>
      </w:r>
    </w:p>
    <w:p w:rsidR="008E4B08" w:rsidRDefault="00C51EF0">
      <w:pPr>
        <w:pStyle w:val="Heading2"/>
        <w:keepNext/>
        <w:spacing w:before="240" w:after="120" w:line="360" w:lineRule="auto"/>
      </w:pPr>
      <w:bookmarkStart w:id="5" w:name="_Toc241908365"/>
      <w:r>
        <w:lastRenderedPageBreak/>
        <w:t>Course Aim</w:t>
      </w:r>
      <w:bookmarkEnd w:id="5"/>
    </w:p>
    <w:p w:rsidR="008E4B08" w:rsidRDefault="00C51EF0">
      <w:pPr>
        <w:spacing w:line="480" w:lineRule="auto"/>
        <w:jc w:val="both"/>
      </w:pPr>
      <w:r>
        <w:t>The aim of the course is to equip doctoral students to use archaeological evidence carefully, honestly and helpfully in biblical scholarship, theological education and Christian ministry.</w:t>
      </w:r>
    </w:p>
    <w:p w:rsidR="008E4B08" w:rsidRDefault="00C51EF0">
      <w:pPr>
        <w:pStyle w:val="Heading2"/>
        <w:keepNext/>
        <w:spacing w:before="240" w:after="120" w:line="360" w:lineRule="auto"/>
      </w:pPr>
      <w:bookmarkStart w:id="6" w:name="_Toc241908366"/>
      <w:r>
        <w:t>Course Objectives</w:t>
      </w:r>
      <w:bookmarkEnd w:id="6"/>
    </w:p>
    <w:p w:rsidR="008E4B08" w:rsidRDefault="00C51EF0">
      <w:pPr>
        <w:spacing w:line="480" w:lineRule="auto"/>
        <w:jc w:val="both"/>
      </w:pPr>
      <w:r>
        <w:t>By the end of the course, students should be able to:</w:t>
      </w:r>
    </w:p>
    <w:p w:rsidR="008E4B08" w:rsidRDefault="00C51EF0">
      <w:pPr>
        <w:pStyle w:val="ListParagraph"/>
        <w:numPr>
          <w:ilvl w:val="0"/>
          <w:numId w:val="2"/>
        </w:numPr>
        <w:spacing w:line="480" w:lineRule="auto"/>
        <w:jc w:val="both"/>
      </w:pPr>
      <w:r>
        <w:t>explain what biblical archaeology is, what it covers and what its limits are;</w:t>
      </w:r>
    </w:p>
    <w:p w:rsidR="008E4B08" w:rsidRDefault="00C51EF0">
      <w:pPr>
        <w:pStyle w:val="ListParagraph"/>
        <w:numPr>
          <w:ilvl w:val="0"/>
          <w:numId w:val="2"/>
        </w:numPr>
        <w:spacing w:line="480" w:lineRule="auto"/>
        <w:jc w:val="both"/>
      </w:pPr>
      <w:r>
        <w:t>describe how the discipline developed and name its leading figures and schools of thought;</w:t>
      </w:r>
    </w:p>
    <w:p w:rsidR="008E4B08" w:rsidRDefault="00C51EF0">
      <w:pPr>
        <w:pStyle w:val="ListParagraph"/>
        <w:numPr>
          <w:ilvl w:val="0"/>
          <w:numId w:val="2"/>
        </w:numPr>
        <w:spacing w:line="480" w:lineRule="auto"/>
        <w:jc w:val="both"/>
      </w:pPr>
      <w:r>
        <w:t>describe the main methods of digging, recording and dating used in the lands of the Bible;</w:t>
      </w:r>
    </w:p>
    <w:p w:rsidR="008E4B08" w:rsidRDefault="00C51EF0">
      <w:pPr>
        <w:pStyle w:val="ListParagraph"/>
        <w:numPr>
          <w:ilvl w:val="0"/>
          <w:numId w:val="2"/>
        </w:numPr>
        <w:spacing w:line="480" w:lineRule="auto"/>
        <w:jc w:val="both"/>
      </w:pPr>
      <w:r>
        <w:t>evaluate different ways of relating archaeological evidence to the Bible;</w:t>
      </w:r>
    </w:p>
    <w:p w:rsidR="008E4B08" w:rsidRDefault="00C51EF0">
      <w:pPr>
        <w:pStyle w:val="ListParagraph"/>
        <w:numPr>
          <w:ilvl w:val="0"/>
          <w:numId w:val="2"/>
        </w:numPr>
        <w:spacing w:line="480" w:lineRule="auto"/>
        <w:jc w:val="both"/>
      </w:pPr>
      <w:r>
        <w:t>discuss accurately the major discoveries for each period of biblical history, from the patriarchs to the early church;</w:t>
      </w:r>
    </w:p>
    <w:p w:rsidR="008E4B08" w:rsidRDefault="00C51EF0">
      <w:pPr>
        <w:pStyle w:val="ListParagraph"/>
        <w:numPr>
          <w:ilvl w:val="0"/>
          <w:numId w:val="2"/>
        </w:numPr>
        <w:spacing w:line="480" w:lineRule="auto"/>
        <w:jc w:val="both"/>
      </w:pPr>
      <w:r>
        <w:t>assess current debates on questions such as the date of the exodus, the origins of Israel and the kingdom of David and Solomon;</w:t>
      </w:r>
    </w:p>
    <w:p w:rsidR="008E4B08" w:rsidRDefault="00C51EF0">
      <w:pPr>
        <w:pStyle w:val="ListParagraph"/>
        <w:numPr>
          <w:ilvl w:val="0"/>
          <w:numId w:val="2"/>
        </w:numPr>
        <w:spacing w:line="480" w:lineRule="auto"/>
        <w:jc w:val="both"/>
      </w:pPr>
      <w:proofErr w:type="spellStart"/>
      <w:r>
        <w:t>recognise</w:t>
      </w:r>
      <w:proofErr w:type="spellEnd"/>
      <w:r>
        <w:t xml:space="preserve"> the ethical problems caused by the trade in antiquities and by forgeries;</w:t>
      </w:r>
    </w:p>
    <w:p w:rsidR="008E4B08" w:rsidRDefault="00C51EF0">
      <w:pPr>
        <w:pStyle w:val="ListParagraph"/>
        <w:numPr>
          <w:ilvl w:val="0"/>
          <w:numId w:val="2"/>
        </w:numPr>
        <w:spacing w:line="480" w:lineRule="auto"/>
        <w:jc w:val="both"/>
      </w:pPr>
      <w:r>
        <w:t>explain the place of Africa and Africans in the biblical world; and</w:t>
      </w:r>
    </w:p>
    <w:p w:rsidR="008E4B08" w:rsidRDefault="00C51EF0">
      <w:pPr>
        <w:pStyle w:val="ListParagraph"/>
        <w:numPr>
          <w:ilvl w:val="0"/>
          <w:numId w:val="2"/>
        </w:numPr>
        <w:spacing w:line="480" w:lineRule="auto"/>
        <w:jc w:val="both"/>
      </w:pPr>
      <w:proofErr w:type="gramStart"/>
      <w:r>
        <w:t>apply</w:t>
      </w:r>
      <w:proofErr w:type="gramEnd"/>
      <w:r>
        <w:t xml:space="preserve"> archaeological knowledge with integrity in teaching, preaching and defending the faith in Nigeria and across Africa.</w:t>
      </w:r>
    </w:p>
    <w:p w:rsidR="008E4B08" w:rsidRDefault="00C51EF0">
      <w:pPr>
        <w:pStyle w:val="Heading2"/>
        <w:keepNext/>
        <w:spacing w:before="240" w:after="120" w:line="360" w:lineRule="auto"/>
      </w:pPr>
      <w:bookmarkStart w:id="7" w:name="_Toc241908368"/>
      <w:r>
        <w:t>Course Outline</w:t>
      </w:r>
      <w:bookmarkEnd w:id="7"/>
    </w:p>
    <w:p w:rsidR="008E4B08" w:rsidRDefault="00C51EF0">
      <w:pPr>
        <w:pStyle w:val="ListParagraph"/>
        <w:numPr>
          <w:ilvl w:val="0"/>
          <w:numId w:val="2"/>
        </w:numPr>
        <w:spacing w:line="480" w:lineRule="auto"/>
        <w:jc w:val="both"/>
      </w:pPr>
      <w:r>
        <w:t>Unit One: Nature, Scope and Purpose of Biblical Archaeology</w:t>
      </w:r>
    </w:p>
    <w:p w:rsidR="008E4B08" w:rsidRDefault="00C51EF0">
      <w:pPr>
        <w:pStyle w:val="ListParagraph"/>
        <w:numPr>
          <w:ilvl w:val="0"/>
          <w:numId w:val="2"/>
        </w:numPr>
        <w:spacing w:line="480" w:lineRule="auto"/>
        <w:jc w:val="both"/>
      </w:pPr>
      <w:r>
        <w:t>Unit Two: The History of Biblical Archaeology</w:t>
      </w:r>
    </w:p>
    <w:p w:rsidR="008E4B08" w:rsidRDefault="00C51EF0">
      <w:pPr>
        <w:pStyle w:val="ListParagraph"/>
        <w:numPr>
          <w:ilvl w:val="0"/>
          <w:numId w:val="2"/>
        </w:numPr>
        <w:spacing w:line="480" w:lineRule="auto"/>
        <w:jc w:val="both"/>
      </w:pPr>
      <w:r>
        <w:t>Unit Three: Methods of Archaeological Research</w:t>
      </w:r>
    </w:p>
    <w:p w:rsidR="008E4B08" w:rsidRDefault="00C51EF0">
      <w:pPr>
        <w:pStyle w:val="ListParagraph"/>
        <w:numPr>
          <w:ilvl w:val="0"/>
          <w:numId w:val="2"/>
        </w:numPr>
        <w:spacing w:line="480" w:lineRule="auto"/>
        <w:jc w:val="both"/>
      </w:pPr>
      <w:r>
        <w:t>Unit Four: Archaeology, History and Biblical Interpretation</w:t>
      </w:r>
    </w:p>
    <w:p w:rsidR="008E4B08" w:rsidRDefault="00C51EF0">
      <w:pPr>
        <w:pStyle w:val="ListParagraph"/>
        <w:numPr>
          <w:ilvl w:val="0"/>
          <w:numId w:val="2"/>
        </w:numPr>
        <w:spacing w:line="480" w:lineRule="auto"/>
        <w:jc w:val="both"/>
      </w:pPr>
      <w:r>
        <w:t>Unit Five: The Ancient Near Eastern World and the Bible</w:t>
      </w:r>
    </w:p>
    <w:p w:rsidR="008E4B08" w:rsidRDefault="00C51EF0">
      <w:pPr>
        <w:pStyle w:val="ListParagraph"/>
        <w:numPr>
          <w:ilvl w:val="0"/>
          <w:numId w:val="2"/>
        </w:numPr>
        <w:spacing w:line="480" w:lineRule="auto"/>
        <w:jc w:val="both"/>
      </w:pPr>
      <w:r>
        <w:lastRenderedPageBreak/>
        <w:t>Unit Six: Archaeology and the Patriarchal Narratives</w:t>
      </w:r>
    </w:p>
    <w:p w:rsidR="008E4B08" w:rsidRDefault="00C51EF0">
      <w:pPr>
        <w:pStyle w:val="ListParagraph"/>
        <w:numPr>
          <w:ilvl w:val="0"/>
          <w:numId w:val="2"/>
        </w:numPr>
        <w:spacing w:line="480" w:lineRule="auto"/>
        <w:jc w:val="both"/>
      </w:pPr>
      <w:r>
        <w:t>Unit Seven: The Exodus and the Settlement in Canaan</w:t>
      </w:r>
    </w:p>
    <w:p w:rsidR="008E4B08" w:rsidRDefault="00C51EF0">
      <w:pPr>
        <w:pStyle w:val="ListParagraph"/>
        <w:numPr>
          <w:ilvl w:val="0"/>
          <w:numId w:val="2"/>
        </w:numPr>
        <w:spacing w:line="480" w:lineRule="auto"/>
        <w:jc w:val="both"/>
      </w:pPr>
      <w:r>
        <w:t>Unit Eight: The United Monarchy: David and Solomon</w:t>
      </w:r>
    </w:p>
    <w:p w:rsidR="008E4B08" w:rsidRDefault="00C51EF0">
      <w:pPr>
        <w:pStyle w:val="ListParagraph"/>
        <w:numPr>
          <w:ilvl w:val="0"/>
          <w:numId w:val="2"/>
        </w:numPr>
        <w:spacing w:line="480" w:lineRule="auto"/>
        <w:jc w:val="both"/>
      </w:pPr>
      <w:r>
        <w:t>Unit Nine: The Divided Kingdom, the Exile and the Return</w:t>
      </w:r>
    </w:p>
    <w:p w:rsidR="008E4B08" w:rsidRDefault="00C51EF0">
      <w:pPr>
        <w:pStyle w:val="ListParagraph"/>
        <w:numPr>
          <w:ilvl w:val="0"/>
          <w:numId w:val="2"/>
        </w:numPr>
        <w:spacing w:line="480" w:lineRule="auto"/>
        <w:jc w:val="both"/>
      </w:pPr>
      <w:r>
        <w:t>Unit Ten: The Dead Sea Scrolls and the World of Second Temple Judaism</w:t>
      </w:r>
    </w:p>
    <w:p w:rsidR="008E4B08" w:rsidRDefault="00C51EF0">
      <w:pPr>
        <w:pStyle w:val="ListParagraph"/>
        <w:numPr>
          <w:ilvl w:val="0"/>
          <w:numId w:val="2"/>
        </w:numPr>
        <w:spacing w:line="480" w:lineRule="auto"/>
        <w:jc w:val="both"/>
      </w:pPr>
      <w:r>
        <w:t>Unit Eleven: Archaeology and the Gospels</w:t>
      </w:r>
    </w:p>
    <w:p w:rsidR="008E4B08" w:rsidRDefault="00C51EF0">
      <w:pPr>
        <w:pStyle w:val="ListParagraph"/>
        <w:numPr>
          <w:ilvl w:val="0"/>
          <w:numId w:val="2"/>
        </w:numPr>
        <w:spacing w:line="480" w:lineRule="auto"/>
        <w:jc w:val="both"/>
      </w:pPr>
      <w:r>
        <w:t>Unit Twelve: Archaeology, Acts and the Early Church</w:t>
      </w:r>
    </w:p>
    <w:p w:rsidR="008E4B08" w:rsidRDefault="00C51EF0">
      <w:pPr>
        <w:pStyle w:val="ListParagraph"/>
        <w:numPr>
          <w:ilvl w:val="0"/>
          <w:numId w:val="2"/>
        </w:numPr>
        <w:spacing w:line="480" w:lineRule="auto"/>
        <w:jc w:val="both"/>
      </w:pPr>
      <w:r>
        <w:t>Unit Thirteen: Ethics, Forgeries and the Antiquities Trade</w:t>
      </w:r>
    </w:p>
    <w:p w:rsidR="008E4B08" w:rsidRDefault="00C51EF0">
      <w:pPr>
        <w:pStyle w:val="ListParagraph"/>
        <w:numPr>
          <w:ilvl w:val="0"/>
          <w:numId w:val="2"/>
        </w:numPr>
        <w:spacing w:line="480" w:lineRule="auto"/>
        <w:jc w:val="both"/>
      </w:pPr>
      <w:r>
        <w:t>Unit Fourteen: Africa, Archaeology and the Bible: Implications for the African Church</w:t>
      </w:r>
    </w:p>
    <w:p w:rsidR="008E4B08" w:rsidRDefault="00C51EF0">
      <w:pPr>
        <w:pStyle w:val="Heading2"/>
        <w:keepNext/>
        <w:spacing w:before="240" w:after="120" w:line="360" w:lineRule="auto"/>
      </w:pPr>
      <w:bookmarkStart w:id="8" w:name="_Toc241908369"/>
      <w:r>
        <w:t>Structure of Each Unit</w:t>
      </w:r>
      <w:bookmarkEnd w:id="8"/>
    </w:p>
    <w:p w:rsidR="008E4B08" w:rsidRDefault="00C51EF0">
      <w:pPr>
        <w:spacing w:line="480" w:lineRule="auto"/>
        <w:jc w:val="both"/>
      </w:pPr>
      <w:r>
        <w:t>Each unit follows a life application format. It opens with an introduction and learning objectives, presents the main content with examples and notes, and closes with a summary. A Life Application section then draws out practical lessons for Christian life, ministry and leadership, followed by a prayer that turns study into worship. Discussion questions and suggestions for further reading complete each unit. The aim is that doctoral study should form not only the mind of the student but also the heart and the life of the servant of God.</w:t>
      </w:r>
    </w:p>
    <w:p w:rsidR="008E4B08" w:rsidRDefault="00C51EF0">
      <w:pPr>
        <w:pStyle w:val="Heading2"/>
        <w:keepNext/>
        <w:spacing w:before="240" w:after="120" w:line="360" w:lineRule="auto"/>
      </w:pPr>
      <w:bookmarkStart w:id="9" w:name="_Toc241908370"/>
      <w:r>
        <w:t>Note on Conventions</w:t>
      </w:r>
      <w:bookmarkEnd w:id="9"/>
    </w:p>
    <w:p w:rsidR="008E4B08" w:rsidRDefault="00C51EF0">
      <w:pPr>
        <w:spacing w:line="480" w:lineRule="auto"/>
        <w:jc w:val="both"/>
      </w:pPr>
      <w:r>
        <w:t xml:space="preserve">Dates follow the conventional BC and AD system. Biblical quotations and references follow the English Standard Version unless otherwise stated. Archaeological periods are named according to the system normally used in Israel and Jordan, and their approximate dates are given in the table in Appendix I. The exact boundaries of some periods, especially in the Iron Age, are still debated, as Units Three and </w:t>
      </w:r>
      <w:proofErr w:type="gramStart"/>
      <w:r>
        <w:t>Eight</w:t>
      </w:r>
      <w:proofErr w:type="gramEnd"/>
      <w:r>
        <w:t xml:space="preserve"> explain. The material is written in British English.</w:t>
      </w:r>
    </w:p>
    <w:p w:rsidR="008E4B08" w:rsidRDefault="008E4B08">
      <w:pPr>
        <w:sectPr w:rsidR="008E4B08">
          <w:footerReference w:type="default" r:id="rId7"/>
          <w:pgSz w:w="11906" w:h="16838"/>
          <w:pgMar w:top="1440" w:right="1440" w:bottom="1440" w:left="1440" w:header="708" w:footer="708" w:gutter="0"/>
          <w:pgNumType w:fmt="lowerRoman" w:start="1"/>
          <w:cols w:space="720"/>
          <w:docGrid w:linePitch="360"/>
        </w:sectPr>
      </w:pPr>
    </w:p>
    <w:p w:rsidR="008E4B08" w:rsidRDefault="00C51EF0">
      <w:pPr>
        <w:pStyle w:val="Heading1"/>
        <w:spacing w:after="360" w:line="360" w:lineRule="auto"/>
        <w:jc w:val="center"/>
      </w:pPr>
      <w:bookmarkStart w:id="10" w:name="_Toc241908371"/>
      <w:r>
        <w:lastRenderedPageBreak/>
        <w:t>UNIT ONE: NATURE, SCOPE AND PURPOSE OF BIBLICAL ARCHAEOLOGY</w:t>
      </w:r>
      <w:bookmarkEnd w:id="10"/>
    </w:p>
    <w:p w:rsidR="008E4B08" w:rsidRDefault="00C51EF0">
      <w:pPr>
        <w:pStyle w:val="Heading2"/>
        <w:keepNext/>
        <w:spacing w:before="240" w:after="120" w:line="360" w:lineRule="auto"/>
      </w:pPr>
      <w:bookmarkStart w:id="11" w:name="_Toc241908372"/>
      <w:r>
        <w:t>1.1 Introduction</w:t>
      </w:r>
      <w:bookmarkEnd w:id="11"/>
    </w:p>
    <w:p w:rsidR="008E4B08" w:rsidRDefault="00C51EF0">
      <w:pPr>
        <w:spacing w:line="480" w:lineRule="auto"/>
        <w:jc w:val="both"/>
      </w:pPr>
      <w:r>
        <w:t>Archaeology has changed the way we study the Bible. Two hundred years ago, people knew the world of the Bible mainly from the Bible itself and from a few ancient writers such as Herodotus and Josephus. Today we have thousands of ancient inscriptions, the remains of hundreds of towns and villages, and a great deal of scientific information about ancient food, farming, trade and climate. Archaeology has not only added to what we know. It has also changed the questions we ask when we read the Bible.</w:t>
      </w:r>
    </w:p>
    <w:p w:rsidR="008E4B08" w:rsidRDefault="00C51EF0">
      <w:pPr>
        <w:spacing w:line="480" w:lineRule="auto"/>
        <w:ind w:firstLine="720"/>
        <w:jc w:val="both"/>
      </w:pPr>
      <w:r>
        <w:t>This unit lays the foundation for the whole course. It explains what archaeology and biblical archaeology are, where and when the discipline works, what kinds of evidence it studies, and what it can and cannot do for the student of Scripture.</w:t>
      </w:r>
    </w:p>
    <w:p w:rsidR="008E4B08" w:rsidRDefault="00C51EF0">
      <w:pPr>
        <w:pStyle w:val="Heading2"/>
        <w:keepNext/>
        <w:spacing w:before="240" w:after="120" w:line="360" w:lineRule="auto"/>
      </w:pPr>
      <w:bookmarkStart w:id="12" w:name="_Toc241908373"/>
      <w:r>
        <w:t>1.2 Learning Objectives</w:t>
      </w:r>
      <w:bookmarkEnd w:id="12"/>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define archaeology and biblical archaeology and explain the difference between them;</w:t>
      </w:r>
    </w:p>
    <w:p w:rsidR="008E4B08" w:rsidRDefault="00C51EF0">
      <w:pPr>
        <w:pStyle w:val="ListParagraph"/>
        <w:numPr>
          <w:ilvl w:val="0"/>
          <w:numId w:val="2"/>
        </w:numPr>
        <w:spacing w:line="480" w:lineRule="auto"/>
        <w:jc w:val="both"/>
      </w:pPr>
      <w:r>
        <w:t>describe the places and periods that biblical archaeology studies;</w:t>
      </w:r>
    </w:p>
    <w:p w:rsidR="008E4B08" w:rsidRDefault="00C51EF0">
      <w:pPr>
        <w:pStyle w:val="ListParagraph"/>
        <w:numPr>
          <w:ilvl w:val="0"/>
          <w:numId w:val="2"/>
        </w:numPr>
        <w:spacing w:line="480" w:lineRule="auto"/>
        <w:jc w:val="both"/>
      </w:pPr>
      <w:r>
        <w:t>name the main kinds of archaeological evidence; and</w:t>
      </w:r>
    </w:p>
    <w:p w:rsidR="008E4B08" w:rsidRDefault="00C51EF0">
      <w:pPr>
        <w:pStyle w:val="ListParagraph"/>
        <w:numPr>
          <w:ilvl w:val="0"/>
          <w:numId w:val="2"/>
        </w:numPr>
        <w:spacing w:line="480" w:lineRule="auto"/>
        <w:jc w:val="both"/>
      </w:pPr>
      <w:proofErr w:type="gramStart"/>
      <w:r>
        <w:t>explain</w:t>
      </w:r>
      <w:proofErr w:type="gramEnd"/>
      <w:r>
        <w:t xml:space="preserve"> what archaeology can do for biblical studies and where its limits lie.</w:t>
      </w:r>
    </w:p>
    <w:p w:rsidR="008E4B08" w:rsidRDefault="00C51EF0">
      <w:pPr>
        <w:pStyle w:val="Heading2"/>
        <w:keepNext/>
        <w:spacing w:before="240" w:after="120" w:line="360" w:lineRule="auto"/>
      </w:pPr>
      <w:bookmarkStart w:id="13" w:name="_Toc241908374"/>
      <w:r>
        <w:t>1.3 What Is Archaeology?</w:t>
      </w:r>
      <w:bookmarkEnd w:id="13"/>
    </w:p>
    <w:p w:rsidR="008E4B08" w:rsidRDefault="00C51EF0">
      <w:pPr>
        <w:spacing w:line="480" w:lineRule="auto"/>
        <w:jc w:val="both"/>
      </w:pPr>
      <w:r>
        <w:t xml:space="preserve">The word </w:t>
      </w:r>
      <w:r>
        <w:rPr>
          <w:i/>
          <w:iCs/>
        </w:rPr>
        <w:t>archaeology</w:t>
      </w:r>
      <w:r>
        <w:t xml:space="preserve"> comes from two Greek words: </w:t>
      </w:r>
      <w:proofErr w:type="spellStart"/>
      <w:r>
        <w:rPr>
          <w:i/>
          <w:iCs/>
        </w:rPr>
        <w:t>archaios</w:t>
      </w:r>
      <w:proofErr w:type="spellEnd"/>
      <w:r>
        <w:t xml:space="preserve">, meaning "ancient", and </w:t>
      </w:r>
      <w:r>
        <w:rPr>
          <w:i/>
          <w:iCs/>
        </w:rPr>
        <w:t>logos</w:t>
      </w:r>
      <w:r>
        <w:t xml:space="preserve">, meaning "word" or "study". Put simply, archaeology is the study of the human past through the things people left behind. Colin Renfrew and Paul </w:t>
      </w:r>
      <w:proofErr w:type="spellStart"/>
      <w:r>
        <w:t>Bahn</w:t>
      </w:r>
      <w:proofErr w:type="spellEnd"/>
      <w:r>
        <w:t xml:space="preserve"> describe it as the recovery, careful description and study of the physical remains of past societies.</w:t>
      </w:r>
      <w:r>
        <w:rPr>
          <w:vertAlign w:val="superscript"/>
        </w:rPr>
        <w:t>1</w:t>
      </w:r>
      <w:r>
        <w:t xml:space="preserve"> These remains include </w:t>
      </w:r>
      <w:r>
        <w:lastRenderedPageBreak/>
        <w:t xml:space="preserve">buildings, tools, pots, weapons, </w:t>
      </w:r>
      <w:proofErr w:type="spellStart"/>
      <w:r>
        <w:t>jewellery</w:t>
      </w:r>
      <w:proofErr w:type="spellEnd"/>
      <w:r>
        <w:t>, graves, bones, seeds and many other traces of human life.</w:t>
      </w:r>
    </w:p>
    <w:p w:rsidR="008E4B08" w:rsidRDefault="00C51EF0">
      <w:pPr>
        <w:spacing w:line="480" w:lineRule="auto"/>
        <w:ind w:firstLine="720"/>
        <w:jc w:val="both"/>
      </w:pPr>
      <w:r>
        <w:t>Archaeology is close to history, but the two are not the same. The historian works mainly with written documents. The archaeologist works mainly with objects and the places where they are found. In the biblical world, however, the two work together. Archaeology shows us the physical setting of daily life: houses, roads, farms and cities. Written texts tell us names, events, beliefs and reasons.</w:t>
      </w:r>
    </w:p>
    <w:p w:rsidR="008E4B08" w:rsidRDefault="00C51EF0">
      <w:pPr>
        <w:spacing w:line="480" w:lineRule="auto"/>
        <w:ind w:firstLine="720"/>
        <w:jc w:val="both"/>
      </w:pPr>
      <w:r>
        <w:rPr>
          <w:b/>
          <w:bCs/>
        </w:rPr>
        <w:t>Example.</w:t>
      </w:r>
      <w:r>
        <w:t xml:space="preserve"> Imagine a family compound in a Nigerian village that has been empty for a hundred years. An archaeologist could study the layout of the rooms, the cooking pots, the farm tools and the graves. From these, he could learn how many people lived there, what they ate and how they worked. But he would not know the name of the family, why they left, or what they believed about God, unless he also found a letter, a family Bible or an elder who remembered the story. Archaeology and written records each tell part of the story.</w:t>
      </w:r>
    </w:p>
    <w:p w:rsidR="008E4B08" w:rsidRDefault="00C51EF0">
      <w:pPr>
        <w:pStyle w:val="Heading2"/>
        <w:keepNext/>
        <w:spacing w:before="240" w:after="120" w:line="360" w:lineRule="auto"/>
      </w:pPr>
      <w:bookmarkStart w:id="14" w:name="_Toc241908375"/>
      <w:r>
        <w:t>1.4 What Is Biblical Archaeology?</w:t>
      </w:r>
      <w:bookmarkEnd w:id="14"/>
    </w:p>
    <w:p w:rsidR="008E4B08" w:rsidRDefault="00C51EF0">
      <w:pPr>
        <w:spacing w:line="480" w:lineRule="auto"/>
        <w:jc w:val="both"/>
      </w:pPr>
      <w:r>
        <w:t xml:space="preserve">The term </w:t>
      </w:r>
      <w:r>
        <w:rPr>
          <w:i/>
          <w:iCs/>
        </w:rPr>
        <w:t>biblical archaeology</w:t>
      </w:r>
      <w:r>
        <w:t xml:space="preserve"> has been used in three main ways:</w:t>
      </w:r>
    </w:p>
    <w:p w:rsidR="008E4B08" w:rsidRDefault="00C51EF0">
      <w:pPr>
        <w:pStyle w:val="ListParagraph"/>
        <w:numPr>
          <w:ilvl w:val="0"/>
          <w:numId w:val="2"/>
        </w:numPr>
        <w:spacing w:line="480" w:lineRule="auto"/>
        <w:jc w:val="both"/>
      </w:pPr>
      <w:r>
        <w:rPr>
          <w:b/>
          <w:bCs/>
        </w:rPr>
        <w:t>Broadly</w:t>
      </w:r>
      <w:r>
        <w:t>, for the archaeology of every land mentioned in the Bible, from Iraq and Iran to Egypt, Turkey, Greece and Italy.</w:t>
      </w:r>
    </w:p>
    <w:p w:rsidR="008E4B08" w:rsidRDefault="00C51EF0">
      <w:pPr>
        <w:pStyle w:val="ListParagraph"/>
        <w:numPr>
          <w:ilvl w:val="0"/>
          <w:numId w:val="2"/>
        </w:numPr>
        <w:spacing w:line="480" w:lineRule="auto"/>
        <w:jc w:val="both"/>
      </w:pPr>
      <w:r>
        <w:rPr>
          <w:b/>
          <w:bCs/>
        </w:rPr>
        <w:t>Narrowly</w:t>
      </w:r>
      <w:r>
        <w:t>, for the archaeology of the land of Israel and the areas around it: modern Israel, the Palestinian territories, Jordan and parts of Lebanon and Syria. This region is often called the southern Levant.</w:t>
      </w:r>
    </w:p>
    <w:p w:rsidR="008E4B08" w:rsidRDefault="00C51EF0">
      <w:pPr>
        <w:pStyle w:val="ListParagraph"/>
        <w:numPr>
          <w:ilvl w:val="0"/>
          <w:numId w:val="2"/>
        </w:numPr>
        <w:spacing w:line="480" w:lineRule="auto"/>
        <w:jc w:val="both"/>
      </w:pPr>
      <w:r>
        <w:rPr>
          <w:b/>
          <w:bCs/>
        </w:rPr>
        <w:t>As a conversation</w:t>
      </w:r>
      <w:r>
        <w:t>, in which the findings of archaeology are brought into dialogue with the text of the Bible.</w:t>
      </w:r>
    </w:p>
    <w:p w:rsidR="008E4B08" w:rsidRDefault="00C51EF0">
      <w:pPr>
        <w:spacing w:line="480" w:lineRule="auto"/>
        <w:ind w:firstLine="720"/>
        <w:jc w:val="both"/>
      </w:pPr>
      <w:r>
        <w:t>William F. Albright, the most important scholar in the field in the twentieth century, used the term in the broad sense.</w:t>
      </w:r>
      <w:r>
        <w:rPr>
          <w:vertAlign w:val="superscript"/>
        </w:rPr>
        <w:t>2</w:t>
      </w:r>
      <w:r>
        <w:t xml:space="preserve"> His student G. Ernest Wright saw biblical archaeology as the study of discoveries that throw light on the Bible, rather than as a separate way of digging.</w:t>
      </w:r>
      <w:r>
        <w:rPr>
          <w:vertAlign w:val="superscript"/>
        </w:rPr>
        <w:t>3</w:t>
      </w:r>
      <w:r>
        <w:t xml:space="preserve"> </w:t>
      </w:r>
      <w:r>
        <w:lastRenderedPageBreak/>
        <w:t xml:space="preserve">Later, William G. </w:t>
      </w:r>
      <w:proofErr w:type="spellStart"/>
      <w:r>
        <w:t>Dever</w:t>
      </w:r>
      <w:proofErr w:type="spellEnd"/>
      <w:r>
        <w:t xml:space="preserve"> argued that the name had become confused with religious aims. He suggested that the field work itself should be called "</w:t>
      </w:r>
      <w:proofErr w:type="spellStart"/>
      <w:r>
        <w:t>Syro</w:t>
      </w:r>
      <w:proofErr w:type="spellEnd"/>
      <w:r>
        <w:t>-Palestinian archaeology", an independent, scientific discipline. "Biblical archaeology", he said, should mean only the conversation between that discipline and biblical studies.</w:t>
      </w:r>
      <w:r>
        <w:rPr>
          <w:vertAlign w:val="superscript"/>
        </w:rPr>
        <w:t>4</w:t>
      </w:r>
    </w:p>
    <w:p w:rsidR="008E4B08" w:rsidRDefault="00C51EF0">
      <w:pPr>
        <w:spacing w:line="480" w:lineRule="auto"/>
        <w:ind w:firstLine="720"/>
        <w:jc w:val="both"/>
      </w:pPr>
      <w:r>
        <w:t>In this course, biblical archaeology means the careful study of the material and written remains of the biblical world, in conversation with the Bible. This definition respects both sides. Archaeology is not made a servant of theology, and the Bible is not treated as just another ancient object.</w:t>
      </w:r>
    </w:p>
    <w:p w:rsidR="008E4B08" w:rsidRDefault="00C51EF0">
      <w:pPr>
        <w:spacing w:line="480" w:lineRule="auto"/>
        <w:ind w:firstLine="720"/>
        <w:jc w:val="both"/>
      </w:pPr>
      <w:r>
        <w:rPr>
          <w:b/>
          <w:bCs/>
        </w:rPr>
        <w:t>Example.</w:t>
      </w:r>
      <w:r>
        <w:t xml:space="preserve"> A medical doctor and a pastor may both visit a sick church member. The doctor examines the body; the pastor prays and gives counsel. Each has his own skill and method, and neither should try to do the other's job. Yet the patient is helped most when they respect each other and talk together. In the same way, the archaeologist and the biblical scholar each have their own methods, but they serve the truth best when they work in conversation.</w:t>
      </w:r>
    </w:p>
    <w:p w:rsidR="008E4B08" w:rsidRDefault="00C51EF0">
      <w:pPr>
        <w:pStyle w:val="Heading2"/>
        <w:keepNext/>
        <w:spacing w:before="240" w:after="120" w:line="360" w:lineRule="auto"/>
      </w:pPr>
      <w:bookmarkStart w:id="15" w:name="_Toc241908376"/>
      <w:r>
        <w:t>1.5 Where and When Biblical Archaeology Works</w:t>
      </w:r>
      <w:bookmarkEnd w:id="15"/>
    </w:p>
    <w:p w:rsidR="008E4B08" w:rsidRDefault="00C51EF0">
      <w:pPr>
        <w:pStyle w:val="Heading3"/>
        <w:keepNext/>
        <w:spacing w:before="120" w:after="60" w:line="360" w:lineRule="auto"/>
      </w:pPr>
      <w:r>
        <w:t>1.5.1 The Places</w:t>
      </w:r>
    </w:p>
    <w:p w:rsidR="008E4B08" w:rsidRDefault="00C51EF0">
      <w:pPr>
        <w:spacing w:line="480" w:lineRule="auto"/>
        <w:jc w:val="both"/>
      </w:pPr>
      <w:r>
        <w:t xml:space="preserve">The heart of biblical archaeology is the southern Levant. This is a narrow strip of land between the Mediterranean Sea and the Arabian </w:t>
      </w:r>
      <w:proofErr w:type="gramStart"/>
      <w:r>
        <w:t>desert</w:t>
      </w:r>
      <w:proofErr w:type="gramEnd"/>
      <w:r>
        <w:t xml:space="preserve">. It has several regions: the coastal plain, the lowland hills called the </w:t>
      </w:r>
      <w:proofErr w:type="spellStart"/>
      <w:r>
        <w:t>Shephelah</w:t>
      </w:r>
      <w:proofErr w:type="spellEnd"/>
      <w:r>
        <w:t>, the central hill country of Judah and Samaria, the Jordan Valley, the dry Negev in the south, Galilee in the north and the high plateau east of the Jordan River. Each region had its own climate and resources, which helps to explain much in the Bible.</w:t>
      </w:r>
    </w:p>
    <w:p w:rsidR="008E4B08" w:rsidRDefault="00C51EF0">
      <w:pPr>
        <w:spacing w:line="480" w:lineRule="auto"/>
        <w:ind w:firstLine="720"/>
        <w:jc w:val="both"/>
      </w:pPr>
      <w:r>
        <w:rPr>
          <w:b/>
          <w:bCs/>
        </w:rPr>
        <w:t>Example.</w:t>
      </w:r>
      <w:r>
        <w:t xml:space="preserve"> Many of the Israelites lived in small farming villages in the hill country, while the Philistines and Canaanites had richer cities on the plains. This difference helps to explain why the Philistines had iron weapons and chariots while Israel had few (1 Sam 13:19–22; </w:t>
      </w:r>
      <w:proofErr w:type="spellStart"/>
      <w:r>
        <w:t>Judg</w:t>
      </w:r>
      <w:proofErr w:type="spellEnd"/>
      <w:r>
        <w:t xml:space="preserve"> 1:19). In a similar way, the history of Nigeria cannot be understood without knowing the difference between the coastal south, the forest belt and the savannah of the north.</w:t>
      </w:r>
    </w:p>
    <w:p w:rsidR="008E4B08" w:rsidRDefault="00C51EF0">
      <w:pPr>
        <w:spacing w:line="480" w:lineRule="auto"/>
        <w:ind w:firstLine="720"/>
        <w:jc w:val="both"/>
      </w:pPr>
      <w:r>
        <w:lastRenderedPageBreak/>
        <w:t>The wider world of the Bible is much larger. Abraham came from Mesopotamia (modern Iraq). Israel became a nation in Egypt. The empires of Assyria, Babylon and Persia shaped the history of Israel and Judah. The New Testament moves through Syria, Turkey, Greece and Italy. Africa is also part of this world. Egypt, Cush (ancient Nubia, in modern Sudan) and Ethiopia appear many times in Scripture, as Unit Fourteen will show.</w:t>
      </w:r>
    </w:p>
    <w:p w:rsidR="008E4B08" w:rsidRDefault="00C51EF0">
      <w:pPr>
        <w:pStyle w:val="Heading3"/>
        <w:keepNext/>
        <w:spacing w:before="120" w:after="60" w:line="360" w:lineRule="auto"/>
      </w:pPr>
      <w:r>
        <w:t>1.5.2 The Periods</w:t>
      </w:r>
    </w:p>
    <w:p w:rsidR="008E4B08" w:rsidRDefault="00C51EF0">
      <w:pPr>
        <w:spacing w:line="480" w:lineRule="auto"/>
        <w:jc w:val="both"/>
      </w:pPr>
      <w:r>
        <w:t>Biblical archaeology is mainly concerned with the time from about 2000 BC to the end of the first century AD. In practice, however, archaeologists study every period in which a site was lived in, from prehistoric times to the Ottoman period. Later remains help to explain earlier ones, and many towns were lived in for thousands of years. The main periods are listed in Appendix I.</w:t>
      </w:r>
    </w:p>
    <w:p w:rsidR="008E4B08" w:rsidRDefault="00C51EF0">
      <w:pPr>
        <w:pStyle w:val="Heading2"/>
        <w:keepNext/>
        <w:spacing w:before="240" w:after="120" w:line="360" w:lineRule="auto"/>
      </w:pPr>
      <w:bookmarkStart w:id="16" w:name="_Toc241908377"/>
      <w:r>
        <w:t>1.6 Kinds of Archaeological Evidence</w:t>
      </w:r>
      <w:bookmarkEnd w:id="16"/>
    </w:p>
    <w:p w:rsidR="008E4B08" w:rsidRDefault="00C51EF0">
      <w:pPr>
        <w:spacing w:line="480" w:lineRule="auto"/>
        <w:jc w:val="both"/>
      </w:pPr>
      <w:r>
        <w:t>Archaeological evidence can be grouped into six main kinds.</w:t>
      </w:r>
    </w:p>
    <w:p w:rsidR="008E4B08" w:rsidRDefault="00C51EF0">
      <w:pPr>
        <w:spacing w:line="480" w:lineRule="auto"/>
        <w:ind w:firstLine="720"/>
        <w:jc w:val="both"/>
      </w:pPr>
      <w:r>
        <w:rPr>
          <w:b/>
          <w:bCs/>
        </w:rPr>
        <w:t>Buildings.</w:t>
      </w:r>
      <w:r>
        <w:t xml:space="preserve"> City walls, gates, palaces, temples, houses, water systems and tombs show how society was organised. For example, the typical Israelite "four-room house", with its courtyard and side rooms for animals and storage, tells us much about family life.</w:t>
      </w:r>
    </w:p>
    <w:p w:rsidR="008E4B08" w:rsidRDefault="00C51EF0">
      <w:pPr>
        <w:spacing w:line="480" w:lineRule="auto"/>
        <w:ind w:firstLine="720"/>
        <w:jc w:val="both"/>
      </w:pPr>
      <w:r>
        <w:rPr>
          <w:b/>
          <w:bCs/>
        </w:rPr>
        <w:t>Objects (artefacts).</w:t>
      </w:r>
      <w:r>
        <w:t xml:space="preserve"> These are things people made or used, such as pottery, tools, weapons, </w:t>
      </w:r>
      <w:proofErr w:type="spellStart"/>
      <w:r>
        <w:t>jewellery</w:t>
      </w:r>
      <w:proofErr w:type="spellEnd"/>
      <w:r>
        <w:t>, seals, figurines and coins. Pottery is especially important. It was cheap and common, it broke easily, its style changed over time, and broken pieces (called sherds) last almost forever. This makes pottery the archaeologist's main tool for dating.</w:t>
      </w:r>
    </w:p>
    <w:p w:rsidR="008E4B08" w:rsidRDefault="00C51EF0">
      <w:pPr>
        <w:spacing w:line="480" w:lineRule="auto"/>
        <w:ind w:firstLine="720"/>
        <w:jc w:val="both"/>
      </w:pPr>
      <w:r>
        <w:rPr>
          <w:b/>
          <w:bCs/>
        </w:rPr>
        <w:t>Example.</w:t>
      </w:r>
      <w:r>
        <w:t xml:space="preserve"> Think of mobile phones in Nigeria. Anyone who finds an old Nokia handset with buttons can say it probably belongs to the early 2000s, while a large touch-screen phone belongs to a later time. Pottery works in a similar way. Archaeologists know which shapes and styles were used in each period, so a broken pot can tell them roughly when a layer was in use.</w:t>
      </w:r>
    </w:p>
    <w:p w:rsidR="008E4B08" w:rsidRDefault="00C51EF0">
      <w:pPr>
        <w:spacing w:line="480" w:lineRule="auto"/>
        <w:ind w:firstLine="720"/>
        <w:jc w:val="both"/>
      </w:pPr>
      <w:r>
        <w:rPr>
          <w:b/>
          <w:bCs/>
        </w:rPr>
        <w:lastRenderedPageBreak/>
        <w:t>Natural remains (</w:t>
      </w:r>
      <w:proofErr w:type="spellStart"/>
      <w:r>
        <w:rPr>
          <w:b/>
          <w:bCs/>
        </w:rPr>
        <w:t>ecofacts</w:t>
      </w:r>
      <w:proofErr w:type="spellEnd"/>
      <w:r>
        <w:rPr>
          <w:b/>
          <w:bCs/>
        </w:rPr>
        <w:t>).</w:t>
      </w:r>
      <w:r>
        <w:t xml:space="preserve"> Animal bones, seeds, pollen, charcoal and shells show what people ate, what they farmed and what the environment was like.</w:t>
      </w:r>
    </w:p>
    <w:p w:rsidR="008E4B08" w:rsidRDefault="00C51EF0">
      <w:pPr>
        <w:spacing w:line="480" w:lineRule="auto"/>
        <w:ind w:firstLine="720"/>
        <w:jc w:val="both"/>
      </w:pPr>
      <w:r>
        <w:rPr>
          <w:b/>
          <w:bCs/>
        </w:rPr>
        <w:t>Human remains.</w:t>
      </w:r>
      <w:r>
        <w:t xml:space="preserve"> Skeletons and graves show age, health, disease, injuries and burial customs. Today, ancient DNA can also show how populations moved.</w:t>
      </w:r>
    </w:p>
    <w:p w:rsidR="008E4B08" w:rsidRDefault="00C51EF0">
      <w:pPr>
        <w:spacing w:line="480" w:lineRule="auto"/>
        <w:ind w:firstLine="720"/>
        <w:jc w:val="both"/>
      </w:pPr>
      <w:r>
        <w:rPr>
          <w:b/>
          <w:bCs/>
        </w:rPr>
        <w:t>Inscriptions and texts.</w:t>
      </w:r>
      <w:r>
        <w:t xml:space="preserve"> These include royal monuments, clay tablets, writing on broken pottery (ostraca), seals and seal impressions (bullae), papyri and scrolls. They are the most direct link between archaeology and the Bible.</w:t>
      </w:r>
    </w:p>
    <w:p w:rsidR="008E4B08" w:rsidRDefault="00C51EF0">
      <w:pPr>
        <w:spacing w:line="480" w:lineRule="auto"/>
        <w:ind w:firstLine="720"/>
        <w:jc w:val="both"/>
      </w:pPr>
      <w:r>
        <w:rPr>
          <w:b/>
          <w:bCs/>
        </w:rPr>
        <w:t>Landscapes and settlement patterns.</w:t>
      </w:r>
      <w:r>
        <w:t xml:space="preserve"> By surveying a whole region, archaeologists can see how many villages existed in a period, where they were and how large they were. Such evidence has been very important in the study of how Israel began.</w:t>
      </w:r>
    </w:p>
    <w:p w:rsidR="008E4B08" w:rsidRDefault="00C51EF0">
      <w:pPr>
        <w:pStyle w:val="Heading2"/>
        <w:keepNext/>
        <w:spacing w:before="240" w:after="120" w:line="360" w:lineRule="auto"/>
      </w:pPr>
      <w:bookmarkStart w:id="17" w:name="_Toc241908378"/>
      <w:r>
        <w:t>1.7 What Archaeology Can Do for Biblical Studies</w:t>
      </w:r>
      <w:bookmarkEnd w:id="17"/>
    </w:p>
    <w:p w:rsidR="008E4B08" w:rsidRDefault="00C51EF0">
      <w:pPr>
        <w:pStyle w:val="Heading3"/>
        <w:keepNext/>
        <w:spacing w:before="120" w:after="60" w:line="360" w:lineRule="auto"/>
      </w:pPr>
      <w:r>
        <w:t>1.7.1 It Shows Us the World of the Bible</w:t>
      </w:r>
    </w:p>
    <w:p w:rsidR="008E4B08" w:rsidRDefault="00C51EF0">
      <w:pPr>
        <w:spacing w:line="480" w:lineRule="auto"/>
        <w:jc w:val="both"/>
      </w:pPr>
      <w:r>
        <w:t xml:space="preserve">The first and safest contribution of archaeology is to show us the world in which the Bible was written. It shows us what a city gate looked like when Boaz sat at the gate of Bethlehem (Ruth 4:1), how olive oil and wine were made, how houses were built and lit, how the dead were buried and how kings displayed their power. Philip King and Lawrence Stager's book </w:t>
      </w:r>
      <w:r>
        <w:rPr>
          <w:i/>
          <w:iCs/>
        </w:rPr>
        <w:t>Life in Biblical Israel</w:t>
      </w:r>
      <w:r>
        <w:t xml:space="preserve"> is a good example. It uses thousands of discoveries to describe everyday life.</w:t>
      </w:r>
      <w:r>
        <w:rPr>
          <w:vertAlign w:val="superscript"/>
        </w:rPr>
        <w:t>5</w:t>
      </w:r>
    </w:p>
    <w:p w:rsidR="008E4B08" w:rsidRDefault="00C51EF0">
      <w:pPr>
        <w:spacing w:line="480" w:lineRule="auto"/>
        <w:ind w:firstLine="720"/>
        <w:jc w:val="both"/>
      </w:pPr>
      <w:r>
        <w:rPr>
          <w:b/>
          <w:bCs/>
        </w:rPr>
        <w:t>Example.</w:t>
      </w:r>
      <w:r>
        <w:t xml:space="preserve"> Jesus said that no one lights a lamp and puts it under a basket (Matt 5:15). Archaeologists have found hundreds of small clay oil lamps from his time. They fit in the palm of the hand and give only a little light. Once we see such a lamp, we understand why it had to be placed on a stand to light the whole house.</w:t>
      </w:r>
    </w:p>
    <w:p w:rsidR="008E4B08" w:rsidRDefault="00C51EF0">
      <w:pPr>
        <w:pStyle w:val="Heading3"/>
        <w:keepNext/>
        <w:spacing w:before="120" w:after="60" w:line="360" w:lineRule="auto"/>
      </w:pPr>
      <w:r>
        <w:t>1.7.2 It Explains Difficult Words</w:t>
      </w:r>
    </w:p>
    <w:p w:rsidR="008E4B08" w:rsidRDefault="00C51EF0">
      <w:pPr>
        <w:spacing w:line="480" w:lineRule="auto"/>
        <w:jc w:val="both"/>
      </w:pPr>
      <w:r>
        <w:t>Archaeology often explains words and customs that were once unclear. For example, 1 Samuel 13:21 mentions a "</w:t>
      </w:r>
      <w:proofErr w:type="spellStart"/>
      <w:r>
        <w:t>pim</w:t>
      </w:r>
      <w:proofErr w:type="spellEnd"/>
      <w:r>
        <w:t xml:space="preserve">" as the price the Philistines charged to sharpen tools. For centuries no one knew what a </w:t>
      </w:r>
      <w:proofErr w:type="spellStart"/>
      <w:r>
        <w:t>pim</w:t>
      </w:r>
      <w:proofErr w:type="spellEnd"/>
      <w:r>
        <w:t xml:space="preserve"> was. Then archaeologists found small stone weights inscribed with the </w:t>
      </w:r>
      <w:r>
        <w:lastRenderedPageBreak/>
        <w:t xml:space="preserve">word </w:t>
      </w:r>
      <w:proofErr w:type="spellStart"/>
      <w:proofErr w:type="gramStart"/>
      <w:r>
        <w:rPr>
          <w:i/>
          <w:iCs/>
        </w:rPr>
        <w:t>pym</w:t>
      </w:r>
      <w:proofErr w:type="spellEnd"/>
      <w:proofErr w:type="gramEnd"/>
      <w:r>
        <w:t xml:space="preserve">. These showed that a </w:t>
      </w:r>
      <w:proofErr w:type="spellStart"/>
      <w:r>
        <w:t>pim</w:t>
      </w:r>
      <w:proofErr w:type="spellEnd"/>
      <w:r>
        <w:t xml:space="preserve"> was a weight of silver, about two-thirds of a shekel.</w:t>
      </w:r>
      <w:r>
        <w:rPr>
          <w:vertAlign w:val="superscript"/>
        </w:rPr>
        <w:t>6</w:t>
      </w:r>
      <w:r>
        <w:t xml:space="preserve"> Likewise, texts discovered at Ugarit in Syria from 1929 onwards explained hundreds of rare Hebrew words and poetic patterns.</w:t>
      </w:r>
    </w:p>
    <w:p w:rsidR="008E4B08" w:rsidRDefault="00C51EF0">
      <w:pPr>
        <w:pStyle w:val="Heading3"/>
        <w:keepNext/>
        <w:spacing w:before="120" w:after="60" w:line="360" w:lineRule="auto"/>
      </w:pPr>
      <w:r>
        <w:t>1.7.3 It Provides Outside Evidence for History</w:t>
      </w:r>
    </w:p>
    <w:p w:rsidR="008E4B08" w:rsidRDefault="00C51EF0">
      <w:pPr>
        <w:spacing w:line="480" w:lineRule="auto"/>
        <w:jc w:val="both"/>
      </w:pPr>
      <w:r>
        <w:t xml:space="preserve">Archaeology gives us independent evidence against which we can compare the history in the Bible. Assyrian and Babylonian records name kings of Israel and Judah, such as </w:t>
      </w:r>
      <w:proofErr w:type="spellStart"/>
      <w:r>
        <w:t>Omri</w:t>
      </w:r>
      <w:proofErr w:type="spellEnd"/>
      <w:r>
        <w:t xml:space="preserve">, Ahab, Jehu, Hezekiah and </w:t>
      </w:r>
      <w:proofErr w:type="spellStart"/>
      <w:r>
        <w:t>Jehoiachin</w:t>
      </w:r>
      <w:proofErr w:type="spellEnd"/>
      <w:r>
        <w:t>. In many cases they agree with the general picture in Kings and Chronicles. At other points, the archaeological picture seems different from the Bible, or at least from some traditional readings of it. A good scholar takes both kinds of evidence seriously.</w:t>
      </w:r>
    </w:p>
    <w:p w:rsidR="008E4B08" w:rsidRDefault="00C51EF0">
      <w:pPr>
        <w:pStyle w:val="Heading3"/>
        <w:keepNext/>
        <w:spacing w:before="120" w:after="60" w:line="360" w:lineRule="auto"/>
      </w:pPr>
      <w:r>
        <w:t>1.7.4 It Shows Us Popular Religion</w:t>
      </w:r>
    </w:p>
    <w:p w:rsidR="008E4B08" w:rsidRDefault="00C51EF0">
      <w:pPr>
        <w:spacing w:line="480" w:lineRule="auto"/>
        <w:jc w:val="both"/>
      </w:pPr>
      <w:r>
        <w:t xml:space="preserve">Archaeology shows us the religious world that the prophets spoke against. Small clay figures of goddesses, incense altars and inscriptions that speak of "Yahweh and his </w:t>
      </w:r>
      <w:proofErr w:type="spellStart"/>
      <w:r>
        <w:t>Asherah</w:t>
      </w:r>
      <w:proofErr w:type="spellEnd"/>
      <w:r>
        <w:t xml:space="preserve">" (from </w:t>
      </w:r>
      <w:proofErr w:type="spellStart"/>
      <w:r>
        <w:t>Kuntillet</w:t>
      </w:r>
      <w:proofErr w:type="spellEnd"/>
      <w:r>
        <w:t xml:space="preserve"> '</w:t>
      </w:r>
      <w:proofErr w:type="spellStart"/>
      <w:r>
        <w:t>Ajrud</w:t>
      </w:r>
      <w:proofErr w:type="spellEnd"/>
      <w:r>
        <w:t xml:space="preserve"> and Khirbet el-Qom) show that many ordinary Israelites mixed the worship of the Lord with other gods. This evidence does not weaken the Bible. On the contrary, it confirms what the prophets themselves complained about, that Judah had as many gods as it had cities (</w:t>
      </w:r>
      <w:proofErr w:type="spellStart"/>
      <w:r>
        <w:t>Jer</w:t>
      </w:r>
      <w:proofErr w:type="spellEnd"/>
      <w:r>
        <w:t xml:space="preserve"> 2:28).</w:t>
      </w:r>
      <w:r>
        <w:rPr>
          <w:vertAlign w:val="superscript"/>
        </w:rPr>
        <w:t>7</w:t>
      </w:r>
    </w:p>
    <w:p w:rsidR="008E4B08" w:rsidRDefault="00C51EF0">
      <w:pPr>
        <w:spacing w:line="480" w:lineRule="auto"/>
        <w:ind w:firstLine="720"/>
        <w:jc w:val="both"/>
      </w:pPr>
      <w:r>
        <w:rPr>
          <w:b/>
          <w:bCs/>
        </w:rPr>
        <w:t>Example.</w:t>
      </w:r>
      <w:r>
        <w:t xml:space="preserve"> In many African communities, some church members still keep charms or consult diviners in secret, even while attending church. A future historian who found both church bulletins and charms in the same house would not conclude that the pastor approved of the charms. He would conclude that the pastor's warnings were needed. In the same way, the idols found in Israelite houses confirm why the prophets preached so strongly.</w:t>
      </w:r>
    </w:p>
    <w:p w:rsidR="008E4B08" w:rsidRDefault="00C51EF0">
      <w:pPr>
        <w:pStyle w:val="Heading2"/>
        <w:keepNext/>
        <w:spacing w:before="240" w:after="120" w:line="360" w:lineRule="auto"/>
      </w:pPr>
      <w:bookmarkStart w:id="18" w:name="_Toc241908379"/>
      <w:r>
        <w:t>1.8 The Limits of Archaeology</w:t>
      </w:r>
      <w:bookmarkEnd w:id="18"/>
    </w:p>
    <w:p w:rsidR="008E4B08" w:rsidRDefault="00C51EF0">
      <w:pPr>
        <w:spacing w:line="480" w:lineRule="auto"/>
        <w:jc w:val="both"/>
      </w:pPr>
      <w:r>
        <w:t>Archaeology is very useful, but it has real limits.</w:t>
      </w:r>
    </w:p>
    <w:p w:rsidR="008E4B08" w:rsidRDefault="00C51EF0">
      <w:pPr>
        <w:spacing w:line="480" w:lineRule="auto"/>
        <w:ind w:firstLine="720"/>
        <w:jc w:val="both"/>
      </w:pPr>
      <w:r>
        <w:rPr>
          <w:b/>
          <w:bCs/>
        </w:rPr>
        <w:lastRenderedPageBreak/>
        <w:t>The evidence is incomplete.</w:t>
      </w:r>
      <w:r>
        <w:t xml:space="preserve"> Only a small part of what existed in the past has survived. Only some ancient sites have been found, only a few of those have been excavated, only part of each site has been dug, and not all excavations have been published. Edwin Yamauchi showed how each of these steps reduces the evidence that reaches us.</w:t>
      </w:r>
      <w:r>
        <w:rPr>
          <w:vertAlign w:val="superscript"/>
        </w:rPr>
        <w:t>8</w:t>
      </w:r>
      <w:r>
        <w:t xml:space="preserve"> For this reason, we must be very careful with arguments from silence, that is, arguments that something did not happen because no evidence has been found.</w:t>
      </w:r>
    </w:p>
    <w:p w:rsidR="008E4B08" w:rsidRDefault="00C51EF0">
      <w:pPr>
        <w:spacing w:line="480" w:lineRule="auto"/>
        <w:ind w:firstLine="720"/>
        <w:jc w:val="both"/>
      </w:pPr>
      <w:r>
        <w:rPr>
          <w:b/>
          <w:bCs/>
        </w:rPr>
        <w:t>Example.</w:t>
      </w:r>
      <w:r>
        <w:t xml:space="preserve"> If someone searched the ruins of an old Nigerian village and found no evidence of a famous wedding that elders say took place there, would that prove the wedding never happened? Of course not. Weddings leave few lasting traces. In the same way, many biblical events, such as a family moving from one town to another, would leave no mark in the ground.</w:t>
      </w:r>
    </w:p>
    <w:p w:rsidR="008E4B08" w:rsidRDefault="00C51EF0">
      <w:pPr>
        <w:spacing w:line="480" w:lineRule="auto"/>
        <w:ind w:firstLine="720"/>
        <w:jc w:val="both"/>
      </w:pPr>
      <w:r>
        <w:rPr>
          <w:b/>
          <w:bCs/>
        </w:rPr>
        <w:t>The evidence does not speak for itself.</w:t>
      </w:r>
      <w:r>
        <w:t xml:space="preserve"> Pots and walls must be interpreted, and interpretation depends on the judgement of the scholar. One archaeologist may say a burnt layer was caused by an Israelite attack, another by an Egyptian army and a third by an earthquake.</w:t>
      </w:r>
    </w:p>
    <w:p w:rsidR="008E4B08" w:rsidRDefault="00C51EF0">
      <w:pPr>
        <w:spacing w:line="480" w:lineRule="auto"/>
        <w:ind w:firstLine="720"/>
        <w:jc w:val="both"/>
      </w:pPr>
      <w:r>
        <w:rPr>
          <w:b/>
          <w:bCs/>
        </w:rPr>
        <w:t>Archaeology cannot prove theology.</w:t>
      </w:r>
      <w:r>
        <w:t xml:space="preserve"> It may show that a city fell at a certain time, but it cannot show that God gave the city into Israel's hand. It may confirm that Pontius Pilate governed Judaea, but it cannot prove that Jesus rose from the dead. The spiritual meaning of history is beyond the reach of the spade.</w:t>
      </w:r>
    </w:p>
    <w:p w:rsidR="008E4B08" w:rsidRDefault="00C51EF0">
      <w:pPr>
        <w:spacing w:line="480" w:lineRule="auto"/>
        <w:ind w:firstLine="720"/>
        <w:jc w:val="both"/>
      </w:pPr>
      <w:r>
        <w:rPr>
          <w:b/>
          <w:bCs/>
        </w:rPr>
        <w:t>Archaeology keeps changing.</w:t>
      </w:r>
      <w:r>
        <w:t xml:space="preserve"> Conclusions that once seemed certain have been revised, such as John </w:t>
      </w:r>
      <w:proofErr w:type="spellStart"/>
      <w:r>
        <w:t>Garstang's</w:t>
      </w:r>
      <w:proofErr w:type="spellEnd"/>
      <w:r>
        <w:t xml:space="preserve"> dating of the fall of Jericho. Students should therefore not build their faith or their sermons on the latest discovery or the latest scholarly opinion.</w:t>
      </w:r>
    </w:p>
    <w:p w:rsidR="008E4B08" w:rsidRDefault="00C51EF0">
      <w:pPr>
        <w:pStyle w:val="Heading2"/>
        <w:keepNext/>
        <w:spacing w:before="240" w:after="120" w:line="360" w:lineRule="auto"/>
      </w:pPr>
      <w:bookmarkStart w:id="19" w:name="_Toc241908380"/>
      <w:r>
        <w:t>1.9 Archaeology and Faith</w:t>
      </w:r>
      <w:bookmarkEnd w:id="19"/>
    </w:p>
    <w:p w:rsidR="008E4B08" w:rsidRDefault="00C51EF0">
      <w:pPr>
        <w:spacing w:line="480" w:lineRule="auto"/>
        <w:jc w:val="both"/>
      </w:pPr>
      <w:r>
        <w:t xml:space="preserve">Some Christians have hoped that archaeology would "prove the Bible true". Some sceptics have hoped it would prove the Bible false. Both expectations misunderstand the discipline. </w:t>
      </w:r>
      <w:r>
        <w:lastRenderedPageBreak/>
        <w:t>Archaeology can show that the biblical writers knew the world they described, and it has done so many times. It can also challenge some of our interpretations and make us look again at the type of writing, the dates and the purpose of a passage. Faith that rests on archaeology rests on shifting sand. But faith that ignores archaeology may be poorly informed. The mature approach, which this course follows, is to let the Bible and the ground each speak in their own voice, and to listen honestly to both.</w:t>
      </w:r>
    </w:p>
    <w:p w:rsidR="008E4B08" w:rsidRDefault="00C51EF0">
      <w:pPr>
        <w:pStyle w:val="Heading2"/>
        <w:keepNext/>
        <w:spacing w:before="240" w:after="120" w:line="360" w:lineRule="auto"/>
      </w:pPr>
      <w:bookmarkStart w:id="20" w:name="_Toc241908381"/>
      <w:r>
        <w:t>1.10 Summary</w:t>
      </w:r>
      <w:bookmarkEnd w:id="20"/>
    </w:p>
    <w:p w:rsidR="008E4B08" w:rsidRDefault="00C51EF0">
      <w:pPr>
        <w:spacing w:line="480" w:lineRule="auto"/>
        <w:jc w:val="both"/>
      </w:pPr>
      <w:r>
        <w:t xml:space="preserve">Archaeology is the study of the human past through the things people left behind. Biblical archaeology is best understood as a careful conversation between the archaeology of the biblical world and the Bible. Its </w:t>
      </w:r>
      <w:proofErr w:type="spellStart"/>
      <w:r>
        <w:t>centre</w:t>
      </w:r>
      <w:proofErr w:type="spellEnd"/>
      <w:r>
        <w:t xml:space="preserve"> is the land of Israel and its </w:t>
      </w:r>
      <w:proofErr w:type="spellStart"/>
      <w:r>
        <w:t>neighbours</w:t>
      </w:r>
      <w:proofErr w:type="spellEnd"/>
      <w:r>
        <w:t>, but its world stretches from Mesopotamia and Egypt to Rome. It shows us the world of the Bible, explains difficult words and customs, provides outside evidence for history and reveals popular religion. Yet its evidence is incomplete, it must be interpreted, and it cannot by itself prove theological truth.</w:t>
      </w:r>
    </w:p>
    <w:p w:rsidR="008E4B08" w:rsidRDefault="00C51EF0">
      <w:pPr>
        <w:pStyle w:val="Heading2"/>
        <w:keepNext/>
        <w:spacing w:before="240" w:after="120" w:line="360" w:lineRule="auto"/>
      </w:pPr>
      <w:bookmarkStart w:id="21" w:name="_Toc241908382"/>
      <w:r>
        <w:t>1.11 Life Application</w:t>
      </w:r>
      <w:bookmarkEnd w:id="21"/>
    </w:p>
    <w:p w:rsidR="008E4B08" w:rsidRDefault="00C51EF0">
      <w:pPr>
        <w:spacing w:line="480" w:lineRule="auto"/>
        <w:jc w:val="both"/>
      </w:pPr>
      <w:r>
        <w:t>The study of archaeology is not only an academic exercise. It shapes the way the believer reads Scripture, speaks about faith and handles truth.</w:t>
      </w:r>
    </w:p>
    <w:p w:rsidR="008E4B08" w:rsidRDefault="00C51EF0">
      <w:pPr>
        <w:pStyle w:val="ListParagraph"/>
        <w:numPr>
          <w:ilvl w:val="0"/>
          <w:numId w:val="2"/>
        </w:numPr>
        <w:spacing w:line="480" w:lineRule="auto"/>
        <w:jc w:val="both"/>
      </w:pPr>
      <w:r>
        <w:rPr>
          <w:b/>
          <w:bCs/>
        </w:rPr>
        <w:t>God speaks in real history.</w:t>
      </w:r>
      <w:r>
        <w:t xml:space="preserve"> The Bible is not a book of myths cut off from time and place. God acted among real people in real towns, and the ground still bears witness to that world. We can read the Bible with confidence that it speaks of real history in which God was at work.</w:t>
      </w:r>
    </w:p>
    <w:p w:rsidR="008E4B08" w:rsidRDefault="00C51EF0">
      <w:pPr>
        <w:pStyle w:val="ListParagraph"/>
        <w:numPr>
          <w:ilvl w:val="0"/>
          <w:numId w:val="2"/>
        </w:numPr>
        <w:spacing w:line="480" w:lineRule="auto"/>
        <w:jc w:val="both"/>
      </w:pPr>
      <w:r>
        <w:rPr>
          <w:b/>
          <w:bCs/>
        </w:rPr>
        <w:t>Faith does not rest on the spade.</w:t>
      </w:r>
      <w:r>
        <w:t xml:space="preserve"> Our confidence in the gospel rests on the testimony of Scripture and the work of the Holy Spirit, not on the latest discovery. We should neither panic at every </w:t>
      </w:r>
      <w:proofErr w:type="spellStart"/>
      <w:r>
        <w:t>sceptical</w:t>
      </w:r>
      <w:proofErr w:type="spellEnd"/>
      <w:r>
        <w:t xml:space="preserve"> headline nor boast about every exciting find.</w:t>
      </w:r>
    </w:p>
    <w:p w:rsidR="008E4B08" w:rsidRDefault="00C51EF0">
      <w:pPr>
        <w:pStyle w:val="ListParagraph"/>
        <w:numPr>
          <w:ilvl w:val="0"/>
          <w:numId w:val="2"/>
        </w:numPr>
        <w:spacing w:line="480" w:lineRule="auto"/>
        <w:jc w:val="both"/>
      </w:pPr>
      <w:r>
        <w:rPr>
          <w:b/>
          <w:bCs/>
        </w:rPr>
        <w:lastRenderedPageBreak/>
        <w:t>Honesty is a spiritual discipline.</w:t>
      </w:r>
      <w:r>
        <w:t xml:space="preserve"> Admitting the limits of evidence is an act of humility. Pastors and teachers must not claim more than the evidence allows, for whoever is faithful in little is faithful in much (Luke 16:10).</w:t>
      </w:r>
    </w:p>
    <w:p w:rsidR="008E4B08" w:rsidRDefault="00C51EF0">
      <w:pPr>
        <w:pStyle w:val="ListParagraph"/>
        <w:numPr>
          <w:ilvl w:val="0"/>
          <w:numId w:val="2"/>
        </w:numPr>
        <w:spacing w:line="480" w:lineRule="auto"/>
        <w:jc w:val="both"/>
      </w:pPr>
      <w:r>
        <w:rPr>
          <w:b/>
          <w:bCs/>
        </w:rPr>
        <w:t>Knowledge enriches devotion.</w:t>
      </w:r>
      <w:r>
        <w:t xml:space="preserve"> Learning how people lived, worked and worshipped in biblical times makes the text come alive. A believer who understands the city gate, the threshing floor and the sheepfold hears the voice of Scripture more clearly.</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Lord God of history, thank you that you have revealed yourself in real places and among real people. Give me a mind that loves truth and a heart that rests in your Word. Keep me humble in what I know, honest in what I teach, and faithful to the gospel that does not depend on human discovery. In Jesus' name. Amen.</w:t>
      </w:r>
    </w:p>
    <w:p w:rsidR="008E4B08" w:rsidRDefault="00C51EF0">
      <w:pPr>
        <w:pStyle w:val="Heading2"/>
        <w:keepNext/>
        <w:spacing w:before="240" w:after="120" w:line="360" w:lineRule="auto"/>
      </w:pPr>
      <w:bookmarkStart w:id="22" w:name="_Toc241908383"/>
      <w:r>
        <w:t>1.12 Discussion Questions</w:t>
      </w:r>
      <w:bookmarkEnd w:id="22"/>
    </w:p>
    <w:p w:rsidR="008E4B08" w:rsidRDefault="00C51EF0">
      <w:pPr>
        <w:tabs>
          <w:tab w:val="left" w:pos="720"/>
        </w:tabs>
        <w:spacing w:line="480" w:lineRule="auto"/>
        <w:ind w:left="720" w:hanging="360"/>
        <w:jc w:val="both"/>
      </w:pPr>
      <w:r>
        <w:t>1.</w:t>
      </w:r>
      <w:r>
        <w:tab/>
        <w:t xml:space="preserve">Evaluate </w:t>
      </w:r>
      <w:proofErr w:type="spellStart"/>
      <w:r>
        <w:t>Dever's</w:t>
      </w:r>
      <w:proofErr w:type="spellEnd"/>
      <w:r>
        <w:t xml:space="preserve"> proposal to separate "</w:t>
      </w:r>
      <w:proofErr w:type="spellStart"/>
      <w:r>
        <w:t>Syro</w:t>
      </w:r>
      <w:proofErr w:type="spellEnd"/>
      <w:r>
        <w:t>-Palestinian archaeology" from "biblical archaeology". What is gained and what is lost?</w:t>
      </w:r>
    </w:p>
    <w:p w:rsidR="008E4B08" w:rsidRDefault="00C51EF0">
      <w:pPr>
        <w:tabs>
          <w:tab w:val="left" w:pos="720"/>
        </w:tabs>
        <w:spacing w:line="480" w:lineRule="auto"/>
        <w:ind w:left="720" w:hanging="360"/>
        <w:jc w:val="both"/>
      </w:pPr>
      <w:r>
        <w:t>2.</w:t>
      </w:r>
      <w:r>
        <w:tab/>
        <w:t>Why is pottery so important in the archaeology of the land of Israel?</w:t>
      </w:r>
    </w:p>
    <w:p w:rsidR="008E4B08" w:rsidRDefault="00C51EF0">
      <w:pPr>
        <w:tabs>
          <w:tab w:val="left" w:pos="720"/>
        </w:tabs>
        <w:spacing w:line="480" w:lineRule="auto"/>
        <w:ind w:left="720" w:hanging="360"/>
        <w:jc w:val="both"/>
      </w:pPr>
      <w:r>
        <w:t>3.</w:t>
      </w:r>
      <w:r>
        <w:tab/>
        <w:t>Explain the danger of arguments from silence, using examples from the Bible and from your own context.</w:t>
      </w:r>
    </w:p>
    <w:p w:rsidR="008E4B08" w:rsidRDefault="00C51EF0">
      <w:pPr>
        <w:tabs>
          <w:tab w:val="left" w:pos="720"/>
        </w:tabs>
        <w:spacing w:line="480" w:lineRule="auto"/>
        <w:ind w:left="720" w:hanging="360"/>
        <w:jc w:val="both"/>
      </w:pPr>
      <w:r>
        <w:t>4.</w:t>
      </w:r>
      <w:r>
        <w:tab/>
        <w:t>In what ways can archaeology strengthen, and in what ways can it weaken, Christian confidence in Scripture?</w:t>
      </w:r>
    </w:p>
    <w:p w:rsidR="008E4B08" w:rsidRDefault="00C51EF0">
      <w:pPr>
        <w:pStyle w:val="Heading2"/>
        <w:keepNext/>
        <w:spacing w:before="240" w:after="120" w:line="360" w:lineRule="auto"/>
      </w:pPr>
      <w:bookmarkStart w:id="23" w:name="_Toc241908384"/>
      <w:r>
        <w:t>1.13 Further Reading</w:t>
      </w:r>
      <w:bookmarkEnd w:id="23"/>
    </w:p>
    <w:p w:rsidR="008E4B08" w:rsidRDefault="00C51EF0">
      <w:pPr>
        <w:spacing w:after="160"/>
        <w:ind w:left="720" w:hanging="720"/>
      </w:pPr>
      <w:proofErr w:type="spellStart"/>
      <w:r>
        <w:t>Dever</w:t>
      </w:r>
      <w:proofErr w:type="spellEnd"/>
      <w:r>
        <w:t xml:space="preserve">, William G. </w:t>
      </w:r>
      <w:r>
        <w:rPr>
          <w:i/>
          <w:iCs/>
        </w:rPr>
        <w:t>What Did the Biblical Writers Know and When Did They Know It?</w:t>
      </w:r>
      <w:r>
        <w:t xml:space="preserve"> Grand Rapids: Eerdmans, 2001.</w:t>
      </w:r>
    </w:p>
    <w:p w:rsidR="008E4B08" w:rsidRDefault="00C51EF0">
      <w:pPr>
        <w:spacing w:after="160"/>
        <w:ind w:left="720" w:hanging="720"/>
      </w:pPr>
      <w:r>
        <w:t xml:space="preserve">King, Philip J., and Lawrence E. Stager. </w:t>
      </w:r>
      <w:r>
        <w:rPr>
          <w:i/>
          <w:iCs/>
        </w:rPr>
        <w:t>Life in Biblical Israel</w:t>
      </w:r>
      <w:r>
        <w:t>. Louisville: Westminster John Knox, 2001.</w:t>
      </w:r>
    </w:p>
    <w:p w:rsidR="008E4B08" w:rsidRDefault="00C51EF0">
      <w:pPr>
        <w:spacing w:after="160"/>
        <w:ind w:left="720" w:hanging="720"/>
      </w:pPr>
      <w:r>
        <w:t xml:space="preserve">Renfrew, Colin, and Paul </w:t>
      </w:r>
      <w:proofErr w:type="spellStart"/>
      <w:r>
        <w:t>Bahn</w:t>
      </w:r>
      <w:proofErr w:type="spellEnd"/>
      <w:r>
        <w:t xml:space="preserve">. </w:t>
      </w:r>
      <w:r>
        <w:rPr>
          <w:i/>
          <w:iCs/>
        </w:rPr>
        <w:t>Archaeology: Theories, Methods and Practice</w:t>
      </w:r>
      <w:r>
        <w:t>. 7th ed. London: Thames &amp; Hudson, 2016.</w:t>
      </w:r>
    </w:p>
    <w:p w:rsidR="008E4B08" w:rsidRDefault="00C51EF0">
      <w:pPr>
        <w:spacing w:after="160"/>
        <w:ind w:left="720" w:hanging="720"/>
      </w:pPr>
      <w:r>
        <w:t xml:space="preserve">Yamauchi, Edwin M. </w:t>
      </w:r>
      <w:r>
        <w:rPr>
          <w:i/>
          <w:iCs/>
        </w:rPr>
        <w:t>The Stones and the Scriptures</w:t>
      </w:r>
      <w:r>
        <w:t>. Philadelphia: Lippincott, 1972.</w:t>
      </w:r>
    </w:p>
    <w:p w:rsidR="008E4B08" w:rsidRDefault="00C51EF0">
      <w:pPr>
        <w:pStyle w:val="Heading1"/>
        <w:pageBreakBefore/>
        <w:spacing w:after="360" w:line="360" w:lineRule="auto"/>
        <w:jc w:val="center"/>
      </w:pPr>
      <w:bookmarkStart w:id="24" w:name="_Toc241908385"/>
      <w:r>
        <w:lastRenderedPageBreak/>
        <w:t>UNIT TWO: THE HISTORY OF BIBLICAL ARCHAEOLOGY</w:t>
      </w:r>
      <w:bookmarkEnd w:id="24"/>
    </w:p>
    <w:p w:rsidR="008E4B08" w:rsidRDefault="00C51EF0">
      <w:pPr>
        <w:pStyle w:val="Heading2"/>
        <w:keepNext/>
        <w:spacing w:before="240" w:after="120" w:line="360" w:lineRule="auto"/>
      </w:pPr>
      <w:bookmarkStart w:id="25" w:name="_Toc241908386"/>
      <w:r>
        <w:t>2.1 Introduction</w:t>
      </w:r>
      <w:bookmarkEnd w:id="25"/>
    </w:p>
    <w:p w:rsidR="008E4B08" w:rsidRDefault="00C51EF0">
      <w:pPr>
        <w:spacing w:line="480" w:lineRule="auto"/>
        <w:jc w:val="both"/>
      </w:pPr>
      <w:r>
        <w:t>Every discipline is shaped by its history, and biblical archaeology more than most. Its questions, methods and debates were shaped by the people who founded it, by the religious and political world in which they worked, and by the great discoveries that excited the public. To understand today's debates, you need to know how the discipline grew. This unit tells that story, from the explorers of the early nineteenth century to the scientific archaeology of today.</w:t>
      </w:r>
    </w:p>
    <w:p w:rsidR="008E4B08" w:rsidRDefault="00C51EF0">
      <w:pPr>
        <w:pStyle w:val="Heading2"/>
        <w:keepNext/>
        <w:spacing w:before="240" w:after="120" w:line="360" w:lineRule="auto"/>
      </w:pPr>
      <w:bookmarkStart w:id="26" w:name="_Toc241908387"/>
      <w:r>
        <w:t>2.2 Learning Objectives</w:t>
      </w:r>
      <w:bookmarkEnd w:id="26"/>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describe the main stages in the growth of biblical archaeology;</w:t>
      </w:r>
    </w:p>
    <w:p w:rsidR="008E4B08" w:rsidRDefault="00C51EF0">
      <w:pPr>
        <w:pStyle w:val="ListParagraph"/>
        <w:numPr>
          <w:ilvl w:val="0"/>
          <w:numId w:val="2"/>
        </w:numPr>
        <w:spacing w:line="480" w:lineRule="auto"/>
        <w:jc w:val="both"/>
      </w:pPr>
      <w:r>
        <w:t>name the leading figures of each stage and their contributions;</w:t>
      </w:r>
    </w:p>
    <w:p w:rsidR="008E4B08" w:rsidRDefault="00C51EF0">
      <w:pPr>
        <w:pStyle w:val="ListParagraph"/>
        <w:numPr>
          <w:ilvl w:val="0"/>
          <w:numId w:val="2"/>
        </w:numPr>
        <w:spacing w:line="480" w:lineRule="auto"/>
        <w:jc w:val="both"/>
      </w:pPr>
      <w:r>
        <w:t>explain the rise and fall of the "Albright school"; and</w:t>
      </w:r>
    </w:p>
    <w:p w:rsidR="008E4B08" w:rsidRDefault="00C51EF0">
      <w:pPr>
        <w:pStyle w:val="ListParagraph"/>
        <w:numPr>
          <w:ilvl w:val="0"/>
          <w:numId w:val="2"/>
        </w:numPr>
        <w:spacing w:line="480" w:lineRule="auto"/>
        <w:jc w:val="both"/>
      </w:pPr>
      <w:proofErr w:type="gramStart"/>
      <w:r>
        <w:t>describe</w:t>
      </w:r>
      <w:proofErr w:type="gramEnd"/>
      <w:r>
        <w:t xml:space="preserve"> the main trends in the discipline today.</w:t>
      </w:r>
    </w:p>
    <w:p w:rsidR="008E4B08" w:rsidRDefault="00C51EF0">
      <w:pPr>
        <w:pStyle w:val="Heading2"/>
        <w:keepNext/>
        <w:spacing w:before="240" w:after="120" w:line="360" w:lineRule="auto"/>
      </w:pPr>
      <w:bookmarkStart w:id="27" w:name="_Toc241908388"/>
      <w:r>
        <w:t xml:space="preserve">2.3 Before Archaeology: Pilgrims and </w:t>
      </w:r>
      <w:proofErr w:type="spellStart"/>
      <w:r>
        <w:t>Travellers</w:t>
      </w:r>
      <w:bookmarkEnd w:id="27"/>
      <w:proofErr w:type="spellEnd"/>
    </w:p>
    <w:p w:rsidR="008E4B08" w:rsidRDefault="00C51EF0">
      <w:pPr>
        <w:spacing w:line="480" w:lineRule="auto"/>
        <w:jc w:val="both"/>
      </w:pPr>
      <w:r>
        <w:t xml:space="preserve">Christians have long been interested in the places of the Bible. From the fourth century AD, pilgrims travelled to Palestine. Helena, the mother of the Roman emperor Constantine, supported the identification of holy places such as Bethlehem and the site of Jesus' crucifixion and burial. The </w:t>
      </w:r>
      <w:proofErr w:type="spellStart"/>
      <w:r>
        <w:t>Madaba</w:t>
      </w:r>
      <w:proofErr w:type="spellEnd"/>
      <w:r>
        <w:t xml:space="preserve"> Map, a sixth-century mosaic floor in a church in Jordan, shows a picture of the Holy Land and of Jerusalem in that period. Later </w:t>
      </w:r>
      <w:proofErr w:type="spellStart"/>
      <w:r>
        <w:t>travellers</w:t>
      </w:r>
      <w:proofErr w:type="spellEnd"/>
      <w:r>
        <w:t xml:space="preserve"> also wrote accounts of their journeys. But their purpose was devotion, not science, and they usually accepted local traditions without checking them.</w:t>
      </w:r>
    </w:p>
    <w:p w:rsidR="008E4B08" w:rsidRDefault="00C51EF0">
      <w:pPr>
        <w:spacing w:line="480" w:lineRule="auto"/>
        <w:ind w:firstLine="720"/>
        <w:jc w:val="both"/>
      </w:pPr>
      <w:r>
        <w:rPr>
          <w:b/>
          <w:bCs/>
        </w:rPr>
        <w:t>Example.</w:t>
      </w:r>
      <w:r>
        <w:t xml:space="preserve"> Many Nigerian pilgrims today are shown places in Israel as "the very spot" where an event happened. Some of these identifications are well supported; others rest only on </w:t>
      </w:r>
      <w:r>
        <w:lastRenderedPageBreak/>
        <w:t>later tradition. The early pilgrims were in the same position. They trusted their guides, and often had no means of testing what they were told.</w:t>
      </w:r>
    </w:p>
    <w:p w:rsidR="008E4B08" w:rsidRDefault="00C51EF0">
      <w:pPr>
        <w:pStyle w:val="Heading2"/>
        <w:keepNext/>
        <w:spacing w:before="240" w:after="120" w:line="360" w:lineRule="auto"/>
      </w:pPr>
      <w:bookmarkStart w:id="28" w:name="_Toc241908389"/>
      <w:r>
        <w:t>2.4 The Age of Exploration (1838–1890)</w:t>
      </w:r>
      <w:bookmarkEnd w:id="28"/>
    </w:p>
    <w:p w:rsidR="008E4B08" w:rsidRDefault="00C51EF0">
      <w:pPr>
        <w:spacing w:line="480" w:lineRule="auto"/>
        <w:jc w:val="both"/>
      </w:pPr>
      <w:r>
        <w:t xml:space="preserve">The scientific study of the Holy Land began with an American scholar, Edward Robinson. In 1838 and again in 1852 he travelled through Palestine with Eli Smith, a missionary who spoke Arabic. Robinson noticed that many ancient place names had survived, in changed form, in the Arabic names of modern villages. By comparing these names with the geography described in the Bible, he identified dozens of biblical towns, such as </w:t>
      </w:r>
      <w:proofErr w:type="spellStart"/>
      <w:r>
        <w:t>Anathoth</w:t>
      </w:r>
      <w:proofErr w:type="spellEnd"/>
      <w:r>
        <w:t>, Beth-</w:t>
      </w:r>
      <w:proofErr w:type="spellStart"/>
      <w:r>
        <w:t>shemesh</w:t>
      </w:r>
      <w:proofErr w:type="spellEnd"/>
      <w:r>
        <w:t xml:space="preserve"> and </w:t>
      </w:r>
      <w:proofErr w:type="spellStart"/>
      <w:r>
        <w:t>Gibeah</w:t>
      </w:r>
      <w:proofErr w:type="spellEnd"/>
      <w:r>
        <w:t xml:space="preserve">. His book </w:t>
      </w:r>
      <w:r>
        <w:rPr>
          <w:i/>
          <w:iCs/>
        </w:rPr>
        <w:t>Biblical Researches in Palestine</w:t>
      </w:r>
      <w:r>
        <w:t xml:space="preserve"> laid the foundation for the study of biblical geography.</w:t>
      </w:r>
      <w:r>
        <w:rPr>
          <w:vertAlign w:val="superscript"/>
        </w:rPr>
        <w:t>9</w:t>
      </w:r>
    </w:p>
    <w:p w:rsidR="008E4B08" w:rsidRDefault="00C51EF0">
      <w:pPr>
        <w:spacing w:line="480" w:lineRule="auto"/>
        <w:ind w:firstLine="720"/>
        <w:jc w:val="both"/>
      </w:pPr>
      <w:r>
        <w:rPr>
          <w:b/>
          <w:bCs/>
        </w:rPr>
        <w:t>Example.</w:t>
      </w:r>
      <w:r>
        <w:t xml:space="preserve"> Robinson's method is easy to understand in a Nigerian setting. Many places keep their old names even when spelling and pronunciation change, and an old name can lead a researcher to the site of an ancient town. In the same way, the Arabic village of '</w:t>
      </w:r>
      <w:proofErr w:type="spellStart"/>
      <w:r>
        <w:t>Anata</w:t>
      </w:r>
      <w:proofErr w:type="spellEnd"/>
      <w:r>
        <w:t xml:space="preserve"> kept the name of biblical </w:t>
      </w:r>
      <w:proofErr w:type="spellStart"/>
      <w:r>
        <w:t>Anathoth</w:t>
      </w:r>
      <w:proofErr w:type="spellEnd"/>
      <w:r>
        <w:t>, the home of Jeremiah.</w:t>
      </w:r>
    </w:p>
    <w:p w:rsidR="008E4B08" w:rsidRDefault="00C51EF0">
      <w:pPr>
        <w:spacing w:line="480" w:lineRule="auto"/>
        <w:ind w:firstLine="720"/>
        <w:jc w:val="both"/>
      </w:pPr>
      <w:r>
        <w:t xml:space="preserve">In 1865 the Palestine Exploration Fund was founded in London. Charles Warren explored the foundations of the Temple Mount in Jerusalem, and Claude </w:t>
      </w:r>
      <w:proofErr w:type="spellStart"/>
      <w:r>
        <w:t>Conder</w:t>
      </w:r>
      <w:proofErr w:type="spellEnd"/>
      <w:r>
        <w:t xml:space="preserve"> and Horatio Herbert Kitchener produced a detailed map called the </w:t>
      </w:r>
      <w:r>
        <w:rPr>
          <w:i/>
          <w:iCs/>
        </w:rPr>
        <w:t>Survey of Western Palestine</w:t>
      </w:r>
      <w:r>
        <w:t xml:space="preserve">. In 1868 the Moabite Stone (the </w:t>
      </w:r>
      <w:proofErr w:type="spellStart"/>
      <w:r>
        <w:t>Mesha</w:t>
      </w:r>
      <w:proofErr w:type="spellEnd"/>
      <w:r>
        <w:t xml:space="preserve"> Inscription) was discovered. It caused great excitement because it named </w:t>
      </w:r>
      <w:proofErr w:type="spellStart"/>
      <w:r>
        <w:t>Omri</w:t>
      </w:r>
      <w:proofErr w:type="spellEnd"/>
      <w:r>
        <w:t>, king of Israel, and described events also recorded in 2 Kings 3. In Iraq, Austen Henry Layard excavated the palaces of Assyria, and in 1872 George Smith announced that he had found a Babylonian story of a great flood.</w:t>
      </w:r>
    </w:p>
    <w:p w:rsidR="008E4B08" w:rsidRDefault="00C51EF0">
      <w:pPr>
        <w:pStyle w:val="Heading2"/>
        <w:keepNext/>
        <w:spacing w:before="240" w:after="120" w:line="360" w:lineRule="auto"/>
      </w:pPr>
      <w:bookmarkStart w:id="29" w:name="_Toc241908390"/>
      <w:r>
        <w:t>2.5 The Beginning of Scientific Excavation (1890–1914)</w:t>
      </w:r>
      <w:bookmarkEnd w:id="29"/>
    </w:p>
    <w:p w:rsidR="008E4B08" w:rsidRDefault="00C51EF0">
      <w:pPr>
        <w:spacing w:line="480" w:lineRule="auto"/>
        <w:jc w:val="both"/>
      </w:pPr>
      <w:r>
        <w:t>The great breakthrough came in 1890, when the British Egyptologist Flinders Petrie excavated Tell el-</w:t>
      </w:r>
      <w:proofErr w:type="spellStart"/>
      <w:r>
        <w:t>Hesi</w:t>
      </w:r>
      <w:proofErr w:type="spellEnd"/>
      <w:r>
        <w:t xml:space="preserve"> in southern Palestine. Petrie </w:t>
      </w:r>
      <w:proofErr w:type="spellStart"/>
      <w:r>
        <w:t>realised</w:t>
      </w:r>
      <w:proofErr w:type="spellEnd"/>
      <w:r>
        <w:t xml:space="preserve"> that </w:t>
      </w:r>
      <w:proofErr w:type="gramStart"/>
      <w:r>
        <w:t xml:space="preserve">a </w:t>
      </w:r>
      <w:r>
        <w:rPr>
          <w:i/>
          <w:iCs/>
        </w:rPr>
        <w:t>tell</w:t>
      </w:r>
      <w:proofErr w:type="gramEnd"/>
      <w:r>
        <w:t xml:space="preserve"> (Arabic for "mound") was made up </w:t>
      </w:r>
      <w:r>
        <w:lastRenderedPageBreak/>
        <w:t>of layers of towns built one on top of another. He noticed that each layer contained pottery of a different style. By recording the pottery in each layer, he could put the layers in order. By linking some pottery to Egyptian objects of known date, he could estimate the date of each layer. Petrie therefore introduced the two foundations of archaeology in the region: the study of layers (stratigraphy) and the study of pottery styles (ceramic typology).</w:t>
      </w:r>
      <w:r>
        <w:rPr>
          <w:vertAlign w:val="superscript"/>
        </w:rPr>
        <w:t>10</w:t>
      </w:r>
    </w:p>
    <w:p w:rsidR="008E4B08" w:rsidRDefault="00C51EF0">
      <w:pPr>
        <w:spacing w:line="480" w:lineRule="auto"/>
        <w:ind w:firstLine="720"/>
        <w:jc w:val="both"/>
      </w:pPr>
      <w:r>
        <w:t xml:space="preserve">Other large excavations followed at Gezer, Megiddo, </w:t>
      </w:r>
      <w:proofErr w:type="spellStart"/>
      <w:r>
        <w:t>Taanach</w:t>
      </w:r>
      <w:proofErr w:type="spellEnd"/>
      <w:r>
        <w:t>, Jericho and Samaria. The Harvard expedition to Samaria introduced more careful recording. However, many early excavators removed huge amounts of earth without understanding the layers they were destroying.</w:t>
      </w:r>
    </w:p>
    <w:p w:rsidR="008E4B08" w:rsidRDefault="00C51EF0">
      <w:pPr>
        <w:pStyle w:val="Heading2"/>
        <w:keepNext/>
        <w:spacing w:before="240" w:after="120" w:line="360" w:lineRule="auto"/>
      </w:pPr>
      <w:bookmarkStart w:id="30" w:name="_Toc241908391"/>
      <w:r>
        <w:t>2.6 The Golden Age and the Albright School (1918–1967)</w:t>
      </w:r>
      <w:bookmarkEnd w:id="30"/>
    </w:p>
    <w:p w:rsidR="008E4B08" w:rsidRDefault="00C51EF0">
      <w:pPr>
        <w:spacing w:line="480" w:lineRule="auto"/>
        <w:jc w:val="both"/>
      </w:pPr>
      <w:r>
        <w:t>After the First World War, Britain ruled Palestine under a mandate and set up a Department of Antiquities. Large excavations took place at Megiddo, Beth-</w:t>
      </w:r>
      <w:proofErr w:type="spellStart"/>
      <w:r>
        <w:t>shean</w:t>
      </w:r>
      <w:proofErr w:type="spellEnd"/>
      <w:r>
        <w:t xml:space="preserve">, Lachish, Samaria and Tell Beit </w:t>
      </w:r>
      <w:proofErr w:type="spellStart"/>
      <w:r>
        <w:t>Mirsim</w:t>
      </w:r>
      <w:proofErr w:type="spellEnd"/>
      <w:r>
        <w:t>.</w:t>
      </w:r>
    </w:p>
    <w:p w:rsidR="008E4B08" w:rsidRDefault="00C51EF0">
      <w:pPr>
        <w:spacing w:line="480" w:lineRule="auto"/>
        <w:ind w:firstLine="720"/>
        <w:jc w:val="both"/>
      </w:pPr>
      <w:r>
        <w:t xml:space="preserve">The leading figure of this period was William </w:t>
      </w:r>
      <w:proofErr w:type="spellStart"/>
      <w:r>
        <w:t>Foxwell</w:t>
      </w:r>
      <w:proofErr w:type="spellEnd"/>
      <w:r>
        <w:t xml:space="preserve"> Albright (1891–1971). He was a brilliant linguist and an active excavator. His excavation at Tell Beit </w:t>
      </w:r>
      <w:proofErr w:type="spellStart"/>
      <w:r>
        <w:t>Mirsim</w:t>
      </w:r>
      <w:proofErr w:type="spellEnd"/>
      <w:r>
        <w:t xml:space="preserve"> (1926–1932) produced a detailed pottery chronology that remained the standard for decades. Albright also wrote widely. He argued that archaeology confirmed the general historical reliability of the Bible against the </w:t>
      </w:r>
      <w:proofErr w:type="spellStart"/>
      <w:r>
        <w:t>sceptical</w:t>
      </w:r>
      <w:proofErr w:type="spellEnd"/>
      <w:r>
        <w:t xml:space="preserve"> views of German scholars such as Julius </w:t>
      </w:r>
      <w:proofErr w:type="spellStart"/>
      <w:r>
        <w:t>Wellhausen</w:t>
      </w:r>
      <w:proofErr w:type="spellEnd"/>
      <w:r>
        <w:t>, Albrecht Alt and Martin Noth.</w:t>
      </w:r>
      <w:r>
        <w:rPr>
          <w:vertAlign w:val="superscript"/>
        </w:rPr>
        <w:t>11</w:t>
      </w:r>
    </w:p>
    <w:p w:rsidR="008E4B08" w:rsidRDefault="00C51EF0">
      <w:pPr>
        <w:spacing w:line="480" w:lineRule="auto"/>
        <w:ind w:firstLine="720"/>
        <w:jc w:val="both"/>
      </w:pPr>
      <w:r>
        <w:t xml:space="preserve">Albright's students, including G. Ernest Wright, John Bright, Nelson </w:t>
      </w:r>
      <w:proofErr w:type="spellStart"/>
      <w:r>
        <w:t>Glueck</w:t>
      </w:r>
      <w:proofErr w:type="spellEnd"/>
      <w:r>
        <w:t xml:space="preserve"> and Frank Moore Cross, formed what became known as the "Albright school". Bright's </w:t>
      </w:r>
      <w:r>
        <w:rPr>
          <w:i/>
          <w:iCs/>
        </w:rPr>
        <w:t>A History of Israel</w:t>
      </w:r>
      <w:r>
        <w:t xml:space="preserve"> (1959) became the standard textbook for a generation. It presented the patriarchs, the exodus and the conquest as broadly historical events supported by archaeology.</w:t>
      </w:r>
      <w:r>
        <w:rPr>
          <w:vertAlign w:val="superscript"/>
        </w:rPr>
        <w:t>12</w:t>
      </w:r>
      <w:r>
        <w:t xml:space="preserve"> Wright linked archaeology to the "biblical theology" movement. He argued that the God of Israel is the God who acts in history, so the historical truth of the events matters for faith.</w:t>
      </w:r>
      <w:r>
        <w:rPr>
          <w:vertAlign w:val="superscript"/>
        </w:rPr>
        <w:t>13</w:t>
      </w:r>
    </w:p>
    <w:p w:rsidR="008E4B08" w:rsidRDefault="00C51EF0">
      <w:pPr>
        <w:spacing w:line="480" w:lineRule="auto"/>
        <w:ind w:firstLine="720"/>
        <w:jc w:val="both"/>
      </w:pPr>
      <w:r>
        <w:lastRenderedPageBreak/>
        <w:t xml:space="preserve">In Britain, Kathleen Kenyon and Mortimer Wheeler developed a more careful method of digging in small squares, leaving walls of earth between them so that the layers could be studied. Kenyon used this method at Jericho (1952–1958) and Jerusalem (1961–1967). After the State of Israel was founded in 1948, archaeology became a national activity there. </w:t>
      </w:r>
      <w:proofErr w:type="spellStart"/>
      <w:r>
        <w:t>Yigael</w:t>
      </w:r>
      <w:proofErr w:type="spellEnd"/>
      <w:r>
        <w:t xml:space="preserve"> </w:t>
      </w:r>
      <w:proofErr w:type="spellStart"/>
      <w:r>
        <w:t>Yadin</w:t>
      </w:r>
      <w:proofErr w:type="spellEnd"/>
      <w:r>
        <w:t xml:space="preserve"> excavated </w:t>
      </w:r>
      <w:proofErr w:type="spellStart"/>
      <w:r>
        <w:t>Hazor</w:t>
      </w:r>
      <w:proofErr w:type="spellEnd"/>
      <w:r>
        <w:t xml:space="preserve"> and Masada, and scholars such as Benjamin </w:t>
      </w:r>
      <w:proofErr w:type="spellStart"/>
      <w:r>
        <w:t>Mazar</w:t>
      </w:r>
      <w:proofErr w:type="spellEnd"/>
      <w:r>
        <w:t xml:space="preserve"> and </w:t>
      </w:r>
      <w:proofErr w:type="spellStart"/>
      <w:r>
        <w:t>Yohanan</w:t>
      </w:r>
      <w:proofErr w:type="spellEnd"/>
      <w:r>
        <w:t xml:space="preserve"> </w:t>
      </w:r>
      <w:proofErr w:type="spellStart"/>
      <w:r>
        <w:t>Aharoni</w:t>
      </w:r>
      <w:proofErr w:type="spellEnd"/>
      <w:r>
        <w:t xml:space="preserve"> built a strong Israeli school.</w:t>
      </w:r>
    </w:p>
    <w:p w:rsidR="008E4B08" w:rsidRDefault="00C51EF0">
      <w:pPr>
        <w:pStyle w:val="Heading2"/>
        <w:keepNext/>
        <w:spacing w:before="240" w:after="120" w:line="360" w:lineRule="auto"/>
      </w:pPr>
      <w:bookmarkStart w:id="31" w:name="_Toc241908392"/>
      <w:r>
        <w:t>2.7 Crisis and Change (1967–1990)</w:t>
      </w:r>
      <w:bookmarkEnd w:id="31"/>
    </w:p>
    <w:p w:rsidR="008E4B08" w:rsidRDefault="00C51EF0">
      <w:pPr>
        <w:spacing w:line="480" w:lineRule="auto"/>
        <w:jc w:val="both"/>
      </w:pPr>
      <w:r>
        <w:t>From the late 1960s the confident view of the Albright school began to break down for four main reasons.</w:t>
      </w:r>
    </w:p>
    <w:p w:rsidR="008E4B08" w:rsidRDefault="00C51EF0">
      <w:pPr>
        <w:spacing w:line="480" w:lineRule="auto"/>
        <w:ind w:firstLine="720"/>
        <w:jc w:val="both"/>
      </w:pPr>
      <w:r>
        <w:t>First, new evidence did not always fit. Some sites, such as Ai and Arad, appeared to have been empty at the time when the Bible says they were conquered.</w:t>
      </w:r>
    </w:p>
    <w:p w:rsidR="008E4B08" w:rsidRDefault="00C51EF0">
      <w:pPr>
        <w:spacing w:line="480" w:lineRule="auto"/>
        <w:ind w:firstLine="720"/>
        <w:jc w:val="both"/>
      </w:pPr>
      <w:r>
        <w:t>Second, a "New Archaeology" arose in America and Britain. It wanted archaeology to be a strict science that studied general processes of change in human societies, such as environment, economy and social structure, rather than trying to confirm particular historical events.</w:t>
      </w:r>
    </w:p>
    <w:p w:rsidR="008E4B08" w:rsidRDefault="00C51EF0">
      <w:pPr>
        <w:spacing w:line="480" w:lineRule="auto"/>
        <w:ind w:firstLine="720"/>
        <w:jc w:val="both"/>
      </w:pPr>
      <w:r>
        <w:t xml:space="preserve">Third, biblical scholars such as Thomas Thompson and John Van </w:t>
      </w:r>
      <w:proofErr w:type="spellStart"/>
      <w:r>
        <w:t>Seters</w:t>
      </w:r>
      <w:proofErr w:type="spellEnd"/>
      <w:r>
        <w:t xml:space="preserve"> argued that the stories of the patriarchs reflected the first millennium BC rather than the second (see Unit Six).</w:t>
      </w:r>
      <w:r>
        <w:rPr>
          <w:vertAlign w:val="superscript"/>
        </w:rPr>
        <w:t>14</w:t>
      </w:r>
    </w:p>
    <w:p w:rsidR="008E4B08" w:rsidRDefault="00C51EF0">
      <w:pPr>
        <w:spacing w:line="480" w:lineRule="auto"/>
        <w:ind w:firstLine="720"/>
        <w:jc w:val="both"/>
      </w:pPr>
      <w:r>
        <w:t xml:space="preserve">Fourth, William </w:t>
      </w:r>
      <w:proofErr w:type="spellStart"/>
      <w:r>
        <w:t>Dever</w:t>
      </w:r>
      <w:proofErr w:type="spellEnd"/>
      <w:r>
        <w:t>, who had himself been trained in the Albright tradition, called for archaeology in the region to become an independent professional discipline.</w:t>
      </w:r>
    </w:p>
    <w:p w:rsidR="008E4B08" w:rsidRDefault="00C51EF0">
      <w:pPr>
        <w:spacing w:line="480" w:lineRule="auto"/>
        <w:ind w:firstLine="720"/>
        <w:jc w:val="both"/>
      </w:pPr>
      <w:r>
        <w:t>As a result, excavations became multidisciplinary. Teams now included experts in plants, animal bones, geology and human remains. Large surveys of the hill country after 1967 produced a great deal of new information about ancient settlements.</w:t>
      </w:r>
    </w:p>
    <w:p w:rsidR="008E4B08" w:rsidRDefault="00C51EF0">
      <w:pPr>
        <w:spacing w:line="480" w:lineRule="auto"/>
        <w:ind w:firstLine="720"/>
        <w:jc w:val="both"/>
      </w:pPr>
      <w:r>
        <w:rPr>
          <w:b/>
          <w:bCs/>
        </w:rPr>
        <w:t>Example.</w:t>
      </w:r>
      <w:r>
        <w:t xml:space="preserve"> The change can be compared to medicine. A village healer might rely on experience and tradition. A modern hospital uses laboratory tests, scans and specialists in many </w:t>
      </w:r>
      <w:r>
        <w:lastRenderedPageBreak/>
        <w:t>fields. Biblical archaeology moved in a similar direction, from the work of a few learned individuals to teams of specialists using scientific tests.</w:t>
      </w:r>
    </w:p>
    <w:p w:rsidR="008E4B08" w:rsidRDefault="00C51EF0">
      <w:pPr>
        <w:pStyle w:val="Heading2"/>
        <w:keepNext/>
        <w:spacing w:before="240" w:after="120" w:line="360" w:lineRule="auto"/>
      </w:pPr>
      <w:bookmarkStart w:id="32" w:name="_Toc241908393"/>
      <w:r>
        <w:t>2.8 The Minimalist Debate (1990–2010)</w:t>
      </w:r>
      <w:bookmarkEnd w:id="32"/>
    </w:p>
    <w:p w:rsidR="008E4B08" w:rsidRDefault="00C51EF0">
      <w:pPr>
        <w:spacing w:line="480" w:lineRule="auto"/>
        <w:jc w:val="both"/>
      </w:pPr>
      <w:r>
        <w:t xml:space="preserve">In the 1990s a group of scholars, often called "minimalists", argued that most of the Old Testament was written very late, in the Persian or Greek periods, and that it tells us little about the real history of ancient Israel. The leading voices included Philip Davies, Niels Peter </w:t>
      </w:r>
      <w:proofErr w:type="spellStart"/>
      <w:r>
        <w:t>Lemche</w:t>
      </w:r>
      <w:proofErr w:type="spellEnd"/>
      <w:r>
        <w:t>, Thomas Thompson and Keith Whitelam.</w:t>
      </w:r>
      <w:r>
        <w:rPr>
          <w:vertAlign w:val="superscript"/>
        </w:rPr>
        <w:t>15</w:t>
      </w:r>
      <w:r>
        <w:t xml:space="preserve"> On the other side, "maximalist" scholars such as Kenneth Kitchen and James </w:t>
      </w:r>
      <w:proofErr w:type="spellStart"/>
      <w:r>
        <w:t>Hoffmeier</w:t>
      </w:r>
      <w:proofErr w:type="spellEnd"/>
      <w:r>
        <w:t xml:space="preserve"> defended the historical reliability of the biblical stories, arguing that they fit well into the periods they describe.</w:t>
      </w:r>
      <w:r>
        <w:rPr>
          <w:vertAlign w:val="superscript"/>
        </w:rPr>
        <w:t>16</w:t>
      </w:r>
    </w:p>
    <w:p w:rsidR="008E4B08" w:rsidRDefault="00C51EF0">
      <w:pPr>
        <w:spacing w:line="480" w:lineRule="auto"/>
        <w:ind w:firstLine="720"/>
        <w:jc w:val="both"/>
      </w:pPr>
      <w:r>
        <w:t xml:space="preserve">Between these two positions was a large middle group. Israel Finkelstein of Tel Aviv University proposed a "low chronology", which moved many buildings from the time of Solomon (tenth century BC) to the time of </w:t>
      </w:r>
      <w:proofErr w:type="spellStart"/>
      <w:r>
        <w:t>Omri</w:t>
      </w:r>
      <w:proofErr w:type="spellEnd"/>
      <w:r>
        <w:t xml:space="preserve"> and Ahab (ninth century BC). With Neil Asher Silberman he wrote a popular book that accepted the later history of the kings but questioned the earlier stories.</w:t>
      </w:r>
      <w:r>
        <w:rPr>
          <w:vertAlign w:val="superscript"/>
        </w:rPr>
        <w:t>17</w:t>
      </w:r>
      <w:r>
        <w:t xml:space="preserve"> </w:t>
      </w:r>
      <w:proofErr w:type="spellStart"/>
      <w:r>
        <w:t>Amihai</w:t>
      </w:r>
      <w:proofErr w:type="spellEnd"/>
      <w:r>
        <w:t xml:space="preserve"> </w:t>
      </w:r>
      <w:proofErr w:type="spellStart"/>
      <w:r>
        <w:t>Mazar</w:t>
      </w:r>
      <w:proofErr w:type="spellEnd"/>
      <w:r>
        <w:t xml:space="preserve"> defended a modified version of the traditional dates. </w:t>
      </w:r>
      <w:proofErr w:type="spellStart"/>
      <w:r>
        <w:t>Dever</w:t>
      </w:r>
      <w:proofErr w:type="spellEnd"/>
      <w:r>
        <w:t>, though not a conservative, argued strongly against the minimalists that the Bible preserves real historical memory. In 1993 the discovery of the Tel Dan inscription, which mentions the "House of David", was a serious blow to the most extreme minimalist claims.</w:t>
      </w:r>
    </w:p>
    <w:p w:rsidR="008E4B08" w:rsidRDefault="00C51EF0">
      <w:pPr>
        <w:pStyle w:val="Heading2"/>
        <w:keepNext/>
        <w:spacing w:before="240" w:after="120" w:line="360" w:lineRule="auto"/>
      </w:pPr>
      <w:bookmarkStart w:id="33" w:name="_Toc241908394"/>
      <w:r>
        <w:t>2.9 Biblical Archaeology Today</w:t>
      </w:r>
      <w:bookmarkEnd w:id="33"/>
    </w:p>
    <w:p w:rsidR="008E4B08" w:rsidRDefault="00C51EF0">
      <w:pPr>
        <w:spacing w:line="480" w:lineRule="auto"/>
        <w:jc w:val="both"/>
      </w:pPr>
      <w:r>
        <w:t>Several features mark the discipline today:</w:t>
      </w:r>
    </w:p>
    <w:p w:rsidR="008E4B08" w:rsidRDefault="00C51EF0">
      <w:pPr>
        <w:pStyle w:val="ListParagraph"/>
        <w:numPr>
          <w:ilvl w:val="0"/>
          <w:numId w:val="2"/>
        </w:numPr>
        <w:spacing w:line="480" w:lineRule="auto"/>
        <w:jc w:val="both"/>
      </w:pPr>
      <w:r>
        <w:rPr>
          <w:b/>
          <w:bCs/>
        </w:rPr>
        <w:t>Scientific dating.</w:t>
      </w:r>
      <w:r>
        <w:t xml:space="preserve"> Radiocarbon dating, made more precise by statistical methods, is now used at many sites. Other techniques study the minerals in pottery, the residue left in vessels, the magnetic record in burnt materials and ancient DNA.</w:t>
      </w:r>
    </w:p>
    <w:p w:rsidR="008E4B08" w:rsidRDefault="00C51EF0">
      <w:pPr>
        <w:pStyle w:val="ListParagraph"/>
        <w:numPr>
          <w:ilvl w:val="0"/>
          <w:numId w:val="2"/>
        </w:numPr>
        <w:spacing w:line="480" w:lineRule="auto"/>
        <w:jc w:val="both"/>
      </w:pPr>
      <w:r>
        <w:rPr>
          <w:b/>
          <w:bCs/>
        </w:rPr>
        <w:t>Digital recording.</w:t>
      </w:r>
      <w:r>
        <w:t xml:space="preserve"> Excavators use GPS, drones, three-dimensional models and computer databases.</w:t>
      </w:r>
    </w:p>
    <w:p w:rsidR="008E4B08" w:rsidRDefault="00C51EF0">
      <w:pPr>
        <w:pStyle w:val="ListParagraph"/>
        <w:numPr>
          <w:ilvl w:val="0"/>
          <w:numId w:val="2"/>
        </w:numPr>
        <w:spacing w:line="480" w:lineRule="auto"/>
        <w:jc w:val="both"/>
      </w:pPr>
      <w:r>
        <w:rPr>
          <w:b/>
          <w:bCs/>
        </w:rPr>
        <w:lastRenderedPageBreak/>
        <w:t>New discoveries.</w:t>
      </w:r>
      <w:r>
        <w:t xml:space="preserve"> Excavations at Khirbet </w:t>
      </w:r>
      <w:proofErr w:type="spellStart"/>
      <w:r>
        <w:t>Qeiyafa</w:t>
      </w:r>
      <w:proofErr w:type="spellEnd"/>
      <w:r>
        <w:t xml:space="preserve">, the City of David in Jerusalem, Tel </w:t>
      </w:r>
      <w:proofErr w:type="spellStart"/>
      <w:r>
        <w:t>Rehov</w:t>
      </w:r>
      <w:proofErr w:type="spellEnd"/>
      <w:r>
        <w:t xml:space="preserve">, </w:t>
      </w:r>
      <w:proofErr w:type="spellStart"/>
      <w:r>
        <w:t>Timna</w:t>
      </w:r>
      <w:proofErr w:type="spellEnd"/>
      <w:r>
        <w:t xml:space="preserve"> and elsewhere have reopened old debates.</w:t>
      </w:r>
    </w:p>
    <w:p w:rsidR="008E4B08" w:rsidRDefault="00C51EF0">
      <w:pPr>
        <w:pStyle w:val="ListParagraph"/>
        <w:numPr>
          <w:ilvl w:val="0"/>
          <w:numId w:val="2"/>
        </w:numPr>
        <w:spacing w:line="480" w:lineRule="auto"/>
        <w:jc w:val="both"/>
      </w:pPr>
      <w:r>
        <w:rPr>
          <w:b/>
          <w:bCs/>
        </w:rPr>
        <w:t>Ethical awareness.</w:t>
      </w:r>
      <w:r>
        <w:t xml:space="preserve"> Scholars are more aware of the problems of looting, forgery and the political use of archaeology (Unit Thirteen).</w:t>
      </w:r>
    </w:p>
    <w:p w:rsidR="008E4B08" w:rsidRDefault="00C51EF0">
      <w:pPr>
        <w:pStyle w:val="ListParagraph"/>
        <w:numPr>
          <w:ilvl w:val="0"/>
          <w:numId w:val="2"/>
        </w:numPr>
        <w:spacing w:line="480" w:lineRule="auto"/>
        <w:jc w:val="both"/>
      </w:pPr>
      <w:r>
        <w:rPr>
          <w:b/>
          <w:bCs/>
        </w:rPr>
        <w:t>Greater diversity.</w:t>
      </w:r>
      <w:r>
        <w:t xml:space="preserve"> The field now includes scholars from many nations, though African participation is still small. One aim of this course is to encourage African scholars to engage the discipline seriously.</w:t>
      </w:r>
    </w:p>
    <w:p w:rsidR="008E4B08" w:rsidRDefault="00C51EF0">
      <w:pPr>
        <w:pStyle w:val="Heading2"/>
        <w:keepNext/>
        <w:spacing w:before="240" w:after="120" w:line="360" w:lineRule="auto"/>
      </w:pPr>
      <w:bookmarkStart w:id="34" w:name="_Toc241908395"/>
      <w:r>
        <w:t>2.10 Summary</w:t>
      </w:r>
      <w:bookmarkEnd w:id="34"/>
    </w:p>
    <w:p w:rsidR="008E4B08" w:rsidRDefault="00C51EF0">
      <w:pPr>
        <w:spacing w:line="480" w:lineRule="auto"/>
        <w:jc w:val="both"/>
      </w:pPr>
      <w:r>
        <w:t>Biblical archaeology grew from Edward Robinson's study of place names, through Flinders Petrie's methods of layers and pottery, to the great synthesis of the Albright school. That synthesis began to break down in the late 1960s, leading to a more scientific and independent discipline and to strong debates between minimalists and maximalists. Today the field uses advanced science, continues to make important discoveries and reflects more carefully on the relationship between the Bible and the ground.</w:t>
      </w:r>
    </w:p>
    <w:p w:rsidR="008E4B08" w:rsidRDefault="00C51EF0">
      <w:pPr>
        <w:pStyle w:val="Heading2"/>
        <w:keepNext/>
        <w:spacing w:before="240" w:after="120" w:line="360" w:lineRule="auto"/>
      </w:pPr>
      <w:bookmarkStart w:id="35" w:name="_Toc241908396"/>
      <w:r>
        <w:t>2.11 Life Application</w:t>
      </w:r>
      <w:bookmarkEnd w:id="35"/>
    </w:p>
    <w:p w:rsidR="008E4B08" w:rsidRDefault="00C51EF0">
      <w:pPr>
        <w:spacing w:line="480" w:lineRule="auto"/>
        <w:jc w:val="both"/>
      </w:pPr>
      <w:r>
        <w:t>The history of biblical archaeology is a story of curiosity, courage, error and correction. It carries lessons for every servant of God.</w:t>
      </w:r>
    </w:p>
    <w:p w:rsidR="008E4B08" w:rsidRDefault="00C51EF0">
      <w:pPr>
        <w:pStyle w:val="ListParagraph"/>
        <w:numPr>
          <w:ilvl w:val="0"/>
          <w:numId w:val="2"/>
        </w:numPr>
        <w:spacing w:line="480" w:lineRule="auto"/>
        <w:jc w:val="both"/>
      </w:pPr>
      <w:r>
        <w:rPr>
          <w:b/>
          <w:bCs/>
        </w:rPr>
        <w:t>Every generation builds on others.</w:t>
      </w:r>
      <w:r>
        <w:t xml:space="preserve"> Robinson, Petrie, Albright and Kenyon built on the work of those before them. Christian leaders should </w:t>
      </w:r>
      <w:proofErr w:type="spellStart"/>
      <w:r>
        <w:t>honour</w:t>
      </w:r>
      <w:proofErr w:type="spellEnd"/>
      <w:r>
        <w:t xml:space="preserve"> those who laid foundations and build carefully for those who come after (1 </w:t>
      </w:r>
      <w:proofErr w:type="spellStart"/>
      <w:r>
        <w:t>Cor</w:t>
      </w:r>
      <w:proofErr w:type="spellEnd"/>
      <w:r>
        <w:t xml:space="preserve"> 3:10).</w:t>
      </w:r>
    </w:p>
    <w:p w:rsidR="008E4B08" w:rsidRDefault="00C51EF0">
      <w:pPr>
        <w:pStyle w:val="ListParagraph"/>
        <w:numPr>
          <w:ilvl w:val="0"/>
          <w:numId w:val="2"/>
        </w:numPr>
        <w:spacing w:line="480" w:lineRule="auto"/>
        <w:jc w:val="both"/>
      </w:pPr>
      <w:r>
        <w:rPr>
          <w:b/>
          <w:bCs/>
        </w:rPr>
        <w:t>Confidence must be held with humility.</w:t>
      </w:r>
      <w:r>
        <w:t xml:space="preserve"> The Albright school was too sure that archaeology had settled historical questions, and many of its conclusions had to be changed. Ministers should not present their own interpretations as beyond question.</w:t>
      </w:r>
    </w:p>
    <w:p w:rsidR="008E4B08" w:rsidRDefault="00C51EF0">
      <w:pPr>
        <w:pStyle w:val="ListParagraph"/>
        <w:numPr>
          <w:ilvl w:val="0"/>
          <w:numId w:val="2"/>
        </w:numPr>
        <w:spacing w:line="480" w:lineRule="auto"/>
        <w:jc w:val="both"/>
      </w:pPr>
      <w:r>
        <w:rPr>
          <w:b/>
          <w:bCs/>
        </w:rPr>
        <w:lastRenderedPageBreak/>
        <w:t>Criticism can refine faith.</w:t>
      </w:r>
      <w:r>
        <w:t xml:space="preserve"> The minimalist challenge forced believing scholars to study harder and argue more carefully. Opposition, rightly received, can make the church stronger.</w:t>
      </w:r>
    </w:p>
    <w:p w:rsidR="008E4B08" w:rsidRDefault="00C51EF0">
      <w:pPr>
        <w:pStyle w:val="ListParagraph"/>
        <w:numPr>
          <w:ilvl w:val="0"/>
          <w:numId w:val="2"/>
        </w:numPr>
        <w:spacing w:line="480" w:lineRule="auto"/>
        <w:jc w:val="both"/>
      </w:pPr>
      <w:r>
        <w:rPr>
          <w:b/>
          <w:bCs/>
        </w:rPr>
        <w:t>Africa must take its place.</w:t>
      </w:r>
      <w:r>
        <w:t xml:space="preserve"> The discipline has been led mainly by Western scholars. African believers are called to study diligently and contribute their own gifts to the understanding of God's Word.</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Father, I thank you for the men and women who have worked to uncover the world of the Bible. Teach me to learn from their discoveries and from their mistakes. Make me humble when I am certain and teachable when I am corrected. Raise up faithful African scholars who will serve your church with excellence. In Jesus' name. Amen.</w:t>
      </w:r>
    </w:p>
    <w:p w:rsidR="008E4B08" w:rsidRDefault="00C51EF0">
      <w:pPr>
        <w:pStyle w:val="Heading2"/>
        <w:keepNext/>
        <w:spacing w:before="240" w:after="120" w:line="360" w:lineRule="auto"/>
      </w:pPr>
      <w:bookmarkStart w:id="36" w:name="_Toc241908397"/>
      <w:r>
        <w:t>2.12 Discussion Questions</w:t>
      </w:r>
      <w:bookmarkEnd w:id="36"/>
    </w:p>
    <w:p w:rsidR="008E4B08" w:rsidRDefault="00C51EF0">
      <w:pPr>
        <w:tabs>
          <w:tab w:val="left" w:pos="720"/>
        </w:tabs>
        <w:spacing w:line="480" w:lineRule="auto"/>
        <w:ind w:left="720" w:hanging="360"/>
        <w:jc w:val="both"/>
      </w:pPr>
      <w:r>
        <w:t>1.</w:t>
      </w:r>
      <w:r>
        <w:tab/>
        <w:t>Assess the contribution of Edward Robinson and Flinders Petrie to the foundations of biblical archaeology.</w:t>
      </w:r>
    </w:p>
    <w:p w:rsidR="008E4B08" w:rsidRDefault="00C51EF0">
      <w:pPr>
        <w:tabs>
          <w:tab w:val="left" w:pos="720"/>
        </w:tabs>
        <w:spacing w:line="480" w:lineRule="auto"/>
        <w:ind w:left="720" w:hanging="360"/>
        <w:jc w:val="both"/>
      </w:pPr>
      <w:r>
        <w:t>2.</w:t>
      </w:r>
      <w:r>
        <w:tab/>
        <w:t>Why did the Albright synthesis break down? Was this inevitable?</w:t>
      </w:r>
    </w:p>
    <w:p w:rsidR="008E4B08" w:rsidRDefault="00C51EF0">
      <w:pPr>
        <w:tabs>
          <w:tab w:val="left" w:pos="720"/>
        </w:tabs>
        <w:spacing w:line="480" w:lineRule="auto"/>
        <w:ind w:left="720" w:hanging="360"/>
        <w:jc w:val="both"/>
      </w:pPr>
      <w:r>
        <w:t>3.</w:t>
      </w:r>
      <w:r>
        <w:tab/>
        <w:t>Compare the positions of the minimalists, the maximalists and the middle group in the debate on the history of Israel.</w:t>
      </w:r>
    </w:p>
    <w:p w:rsidR="008E4B08" w:rsidRDefault="00C51EF0">
      <w:pPr>
        <w:tabs>
          <w:tab w:val="left" w:pos="720"/>
        </w:tabs>
        <w:spacing w:line="480" w:lineRule="auto"/>
        <w:ind w:left="720" w:hanging="360"/>
        <w:jc w:val="both"/>
      </w:pPr>
      <w:r>
        <w:t>4.</w:t>
      </w:r>
      <w:r>
        <w:tab/>
        <w:t>In what ways might African scholars make a special contribution to biblical archaeology?</w:t>
      </w:r>
    </w:p>
    <w:p w:rsidR="008E4B08" w:rsidRDefault="00C51EF0">
      <w:pPr>
        <w:pStyle w:val="Heading2"/>
        <w:keepNext/>
        <w:spacing w:before="240" w:after="120" w:line="360" w:lineRule="auto"/>
      </w:pPr>
      <w:bookmarkStart w:id="37" w:name="_Toc241908398"/>
      <w:r>
        <w:t>2.13 Further Reading</w:t>
      </w:r>
      <w:bookmarkEnd w:id="37"/>
    </w:p>
    <w:p w:rsidR="008E4B08" w:rsidRDefault="00C51EF0">
      <w:pPr>
        <w:spacing w:after="160"/>
        <w:ind w:left="720" w:hanging="720"/>
      </w:pPr>
      <w:r>
        <w:t xml:space="preserve">Davis, Thomas W. </w:t>
      </w:r>
      <w:r>
        <w:rPr>
          <w:i/>
          <w:iCs/>
        </w:rPr>
        <w:t xml:space="preserve">Shifting Sands: The Rise and </w:t>
      </w:r>
      <w:proofErr w:type="gramStart"/>
      <w:r>
        <w:rPr>
          <w:i/>
          <w:iCs/>
        </w:rPr>
        <w:t>Fall</w:t>
      </w:r>
      <w:proofErr w:type="gramEnd"/>
      <w:r>
        <w:rPr>
          <w:i/>
          <w:iCs/>
        </w:rPr>
        <w:t xml:space="preserve"> of Biblical Archaeology</w:t>
      </w:r>
      <w:r>
        <w:t>. New York: Oxford University Press, 2004.</w:t>
      </w:r>
    </w:p>
    <w:p w:rsidR="008E4B08" w:rsidRDefault="00C51EF0">
      <w:pPr>
        <w:spacing w:after="160"/>
        <w:ind w:left="720" w:hanging="720"/>
      </w:pPr>
      <w:proofErr w:type="spellStart"/>
      <w:r>
        <w:t>Moorey</w:t>
      </w:r>
      <w:proofErr w:type="spellEnd"/>
      <w:r>
        <w:t xml:space="preserve">, P. R. S. </w:t>
      </w:r>
      <w:r>
        <w:rPr>
          <w:i/>
          <w:iCs/>
        </w:rPr>
        <w:t>A Century of Biblical Archaeology</w:t>
      </w:r>
      <w:r>
        <w:t xml:space="preserve">. Cambridge: </w:t>
      </w:r>
      <w:proofErr w:type="spellStart"/>
      <w:r>
        <w:t>Lutterworth</w:t>
      </w:r>
      <w:proofErr w:type="spellEnd"/>
      <w:r>
        <w:t>, 1991.</w:t>
      </w:r>
    </w:p>
    <w:p w:rsidR="008E4B08" w:rsidRDefault="00C51EF0">
      <w:pPr>
        <w:spacing w:after="160"/>
        <w:ind w:left="720" w:hanging="720"/>
      </w:pPr>
      <w:r>
        <w:t xml:space="preserve">Silberman, Neil Asher. </w:t>
      </w:r>
      <w:r>
        <w:rPr>
          <w:i/>
          <w:iCs/>
        </w:rPr>
        <w:t>Digging for God and Country</w:t>
      </w:r>
      <w:r>
        <w:t>. New York: Knopf, 1982.</w:t>
      </w:r>
    </w:p>
    <w:p w:rsidR="008E4B08" w:rsidRDefault="00C51EF0">
      <w:pPr>
        <w:pStyle w:val="Heading1"/>
        <w:pageBreakBefore/>
        <w:spacing w:after="360" w:line="360" w:lineRule="auto"/>
        <w:jc w:val="center"/>
      </w:pPr>
      <w:bookmarkStart w:id="38" w:name="_Toc241908399"/>
      <w:r>
        <w:lastRenderedPageBreak/>
        <w:t>UNIT THREE: METHODS OF ARCHAEOLOGICAL RESEARCH</w:t>
      </w:r>
      <w:bookmarkEnd w:id="38"/>
    </w:p>
    <w:p w:rsidR="008E4B08" w:rsidRDefault="00C51EF0">
      <w:pPr>
        <w:pStyle w:val="Heading2"/>
        <w:keepNext/>
        <w:spacing w:before="240" w:after="120" w:line="360" w:lineRule="auto"/>
      </w:pPr>
      <w:bookmarkStart w:id="39" w:name="_Toc241908400"/>
      <w:r>
        <w:t>3.1 Introduction</w:t>
      </w:r>
      <w:bookmarkEnd w:id="39"/>
    </w:p>
    <w:p w:rsidR="008E4B08" w:rsidRDefault="00C51EF0">
      <w:pPr>
        <w:spacing w:line="480" w:lineRule="auto"/>
        <w:jc w:val="both"/>
      </w:pPr>
      <w:r>
        <w:t>A doctoral student who uses archaeological evidence must understand how that evidence is produced. A statement such as "this city was destroyed in 701 BC" rests on a chain of steps: choosing the site, digging it, recording what is found, dating the layers and interpreting the whole. Each link in the chain can be strong or weak. This unit explains the main methods used in the archaeology of the biblical world, so that you can read excavation reports with understanding and judge the claims you meet in books, sermons and on the internet.</w:t>
      </w:r>
    </w:p>
    <w:p w:rsidR="008E4B08" w:rsidRDefault="00C51EF0">
      <w:pPr>
        <w:pStyle w:val="Heading2"/>
        <w:keepNext/>
        <w:spacing w:before="240" w:after="120" w:line="360" w:lineRule="auto"/>
      </w:pPr>
      <w:bookmarkStart w:id="40" w:name="_Toc241908401"/>
      <w:r>
        <w:t>3.2 Learning Objectives</w:t>
      </w:r>
      <w:bookmarkEnd w:id="40"/>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explain how a tell is formed and what stratigraphy means;</w:t>
      </w:r>
    </w:p>
    <w:p w:rsidR="008E4B08" w:rsidRDefault="00C51EF0">
      <w:pPr>
        <w:pStyle w:val="ListParagraph"/>
        <w:numPr>
          <w:ilvl w:val="0"/>
          <w:numId w:val="2"/>
        </w:numPr>
        <w:spacing w:line="480" w:lineRule="auto"/>
        <w:jc w:val="both"/>
      </w:pPr>
      <w:r>
        <w:t>describe the main methods of survey and excavation;</w:t>
      </w:r>
    </w:p>
    <w:p w:rsidR="008E4B08" w:rsidRDefault="00C51EF0">
      <w:pPr>
        <w:pStyle w:val="ListParagraph"/>
        <w:numPr>
          <w:ilvl w:val="0"/>
          <w:numId w:val="2"/>
        </w:numPr>
        <w:spacing w:line="480" w:lineRule="auto"/>
        <w:jc w:val="both"/>
      </w:pPr>
      <w:r>
        <w:t>explain the difference between relative and absolute dating and describe the main dating methods; and</w:t>
      </w:r>
    </w:p>
    <w:p w:rsidR="008E4B08" w:rsidRDefault="00C51EF0">
      <w:pPr>
        <w:pStyle w:val="ListParagraph"/>
        <w:numPr>
          <w:ilvl w:val="0"/>
          <w:numId w:val="2"/>
        </w:numPr>
        <w:spacing w:line="480" w:lineRule="auto"/>
        <w:jc w:val="both"/>
      </w:pPr>
      <w:proofErr w:type="gramStart"/>
      <w:r>
        <w:t>describe</w:t>
      </w:r>
      <w:proofErr w:type="gramEnd"/>
      <w:r>
        <w:t xml:space="preserve"> how archaeological evidence is interpreted and published.</w:t>
      </w:r>
    </w:p>
    <w:p w:rsidR="008E4B08" w:rsidRDefault="00C51EF0">
      <w:pPr>
        <w:pStyle w:val="Heading2"/>
        <w:keepNext/>
        <w:spacing w:before="240" w:after="120" w:line="360" w:lineRule="auto"/>
      </w:pPr>
      <w:bookmarkStart w:id="41" w:name="_Toc241908402"/>
      <w:r>
        <w:t>3.3 How a Tell Is Formed</w:t>
      </w:r>
      <w:bookmarkEnd w:id="41"/>
    </w:p>
    <w:p w:rsidR="008E4B08" w:rsidRDefault="00C51EF0">
      <w:pPr>
        <w:spacing w:line="480" w:lineRule="auto"/>
        <w:jc w:val="both"/>
      </w:pPr>
      <w:r>
        <w:t xml:space="preserve">The typical archaeological site in the Middle East is </w:t>
      </w:r>
      <w:proofErr w:type="gramStart"/>
      <w:r>
        <w:t xml:space="preserve">a </w:t>
      </w:r>
      <w:r>
        <w:rPr>
          <w:i/>
          <w:iCs/>
        </w:rPr>
        <w:t>tell</w:t>
      </w:r>
      <w:proofErr w:type="gramEnd"/>
      <w:r>
        <w:t xml:space="preserve">, an artificial hill made of the remains of many towns built one on top of another. Ancient people chose places with a good water supply, a safe position and access to farmland and roads. These good places were used again and again. When a town was destroyed by war, earthquake or fire, or was simply abandoned, its mud-brick buildings collapsed. Later settlers flattened the rubble and built on top of it. Over centuries the mound grew higher, sometimes to twenty or thirty </w:t>
      </w:r>
      <w:proofErr w:type="spellStart"/>
      <w:r>
        <w:t>metres</w:t>
      </w:r>
      <w:proofErr w:type="spellEnd"/>
      <w:r>
        <w:t xml:space="preserve">. Each layer of occupation is called a </w:t>
      </w:r>
      <w:r>
        <w:rPr>
          <w:i/>
          <w:iCs/>
        </w:rPr>
        <w:t>stratum</w:t>
      </w:r>
      <w:r>
        <w:t xml:space="preserve"> (plural, </w:t>
      </w:r>
      <w:r>
        <w:rPr>
          <w:i/>
          <w:iCs/>
        </w:rPr>
        <w:t>strata</w:t>
      </w:r>
      <w:r>
        <w:t>).</w:t>
      </w:r>
    </w:p>
    <w:p w:rsidR="008E4B08" w:rsidRDefault="00C51EF0">
      <w:pPr>
        <w:spacing w:line="480" w:lineRule="auto"/>
        <w:ind w:firstLine="720"/>
        <w:jc w:val="both"/>
      </w:pPr>
      <w:r>
        <w:rPr>
          <w:b/>
          <w:bCs/>
        </w:rPr>
        <w:lastRenderedPageBreak/>
        <w:t>Example.</w:t>
      </w:r>
      <w:r>
        <w:t xml:space="preserve"> Think of a busy roadside market in a Nigerian town that has been rebuilt several times after fires or demolitions. Each time, the traders level the debris and build new stalls on top. If you dug down through the ground, you would find the remains of each market in turn: newer layers on top, older layers below. A tell is the same process repeated over thousands of years.</w:t>
      </w:r>
    </w:p>
    <w:p w:rsidR="008E4B08" w:rsidRDefault="00C51EF0">
      <w:pPr>
        <w:spacing w:line="480" w:lineRule="auto"/>
        <w:ind w:firstLine="720"/>
        <w:jc w:val="both"/>
      </w:pPr>
      <w:r>
        <w:t>Many tells keep their ancient names. Tell el-</w:t>
      </w:r>
      <w:proofErr w:type="spellStart"/>
      <w:r>
        <w:t>Mutesellim</w:t>
      </w:r>
      <w:proofErr w:type="spellEnd"/>
      <w:r>
        <w:t xml:space="preserve"> is ancient Megiddo, and Tell el-</w:t>
      </w:r>
      <w:proofErr w:type="spellStart"/>
      <w:r>
        <w:t>Qedah</w:t>
      </w:r>
      <w:proofErr w:type="spellEnd"/>
      <w:r>
        <w:t xml:space="preserve"> is </w:t>
      </w:r>
      <w:proofErr w:type="spellStart"/>
      <w:r>
        <w:t>Hazor</w:t>
      </w:r>
      <w:proofErr w:type="spellEnd"/>
      <w:r>
        <w:t xml:space="preserve">. In Hebrew the word is </w:t>
      </w:r>
      <w:proofErr w:type="spellStart"/>
      <w:r>
        <w:rPr>
          <w:i/>
          <w:iCs/>
        </w:rPr>
        <w:t>tel</w:t>
      </w:r>
      <w:proofErr w:type="spellEnd"/>
      <w:r>
        <w:t xml:space="preserve">, and modern Israeli names such as Tel Dan, Tel Arad and Tel Lachish restore the biblical names. The Bible itself refers to tells. Joshua 8:28 says that Joshua made Ai "forever a heap" (Hebrew </w:t>
      </w:r>
      <w:proofErr w:type="spellStart"/>
      <w:r>
        <w:rPr>
          <w:i/>
          <w:iCs/>
        </w:rPr>
        <w:t>tel</w:t>
      </w:r>
      <w:proofErr w:type="spellEnd"/>
      <w:r>
        <w:t>), and Jeremiah 30:18 promises that the city will be rebuilt "on its mound".</w:t>
      </w:r>
    </w:p>
    <w:p w:rsidR="008E4B08" w:rsidRDefault="00C51EF0">
      <w:pPr>
        <w:pStyle w:val="Heading2"/>
        <w:keepNext/>
        <w:spacing w:before="240" w:after="120" w:line="360" w:lineRule="auto"/>
      </w:pPr>
      <w:bookmarkStart w:id="42" w:name="_Toc241908403"/>
      <w:r>
        <w:t>3.4 Stratigraphy: Reading the Layers</w:t>
      </w:r>
      <w:bookmarkEnd w:id="42"/>
    </w:p>
    <w:p w:rsidR="008E4B08" w:rsidRDefault="00C51EF0">
      <w:pPr>
        <w:spacing w:line="480" w:lineRule="auto"/>
        <w:jc w:val="both"/>
      </w:pPr>
      <w:r>
        <w:t>Stratigraphy is the study of the layers of a site. Its basic rule, taken from geology, is the law of superposition. In an undisturbed sequence, a lower layer is older than the layer above it.</w:t>
      </w:r>
    </w:p>
    <w:p w:rsidR="008E4B08" w:rsidRDefault="00C51EF0">
      <w:pPr>
        <w:spacing w:line="480" w:lineRule="auto"/>
        <w:ind w:firstLine="720"/>
        <w:jc w:val="both"/>
      </w:pPr>
      <w:r>
        <w:t>In real life, tells are often disturbed. People dug pits, foundations, graves, storage holes and water cisterns down into earlier layers. Later builders reused old stones. Rain washed debris down the slopes. The archaeologist must therefore separate each "locus" (a single layer, wall, floor or pit) and work out how each relates to the others.</w:t>
      </w:r>
    </w:p>
    <w:p w:rsidR="008E4B08" w:rsidRDefault="00C51EF0">
      <w:pPr>
        <w:spacing w:line="480" w:lineRule="auto"/>
        <w:ind w:firstLine="720"/>
        <w:jc w:val="both"/>
      </w:pPr>
      <w:r>
        <w:rPr>
          <w:b/>
          <w:bCs/>
        </w:rPr>
        <w:t>Example.</w:t>
      </w:r>
      <w:r>
        <w:t xml:space="preserve"> Imagine a pile of old newspapers stacked over many years. The oldest papers are at the bottom and the newest at the top. But if someone pushed a recent newspaper into the middle of the pile, a careless reader might think it was older than it really is. In the same way, a pit dug from a later layer can carry recent objects deep into older levels. The archaeologist must notice such disturbances.</w:t>
      </w:r>
    </w:p>
    <w:p w:rsidR="008E4B08" w:rsidRDefault="00C51EF0">
      <w:pPr>
        <w:spacing w:line="480" w:lineRule="auto"/>
        <w:ind w:firstLine="720"/>
        <w:jc w:val="both"/>
      </w:pPr>
      <w:r>
        <w:t xml:space="preserve">Good method makes a great difference. Early excavators often removed earth in large areas at fixed depths, mixing material from different periods. Kathleen Kenyon and Mortimer Wheeler solved this by digging in squares, often five </w:t>
      </w:r>
      <w:proofErr w:type="spellStart"/>
      <w:r>
        <w:t>metres</w:t>
      </w:r>
      <w:proofErr w:type="spellEnd"/>
      <w:r>
        <w:t xml:space="preserve"> by five </w:t>
      </w:r>
      <w:proofErr w:type="spellStart"/>
      <w:r>
        <w:t>metres</w:t>
      </w:r>
      <w:proofErr w:type="spellEnd"/>
      <w:r>
        <w:t xml:space="preserve">, leaving strips of </w:t>
      </w:r>
      <w:r>
        <w:lastRenderedPageBreak/>
        <w:t>earth called "balks" between them. The sides of these balks show the layers clearly and can be drawn and photographed. Many excavations today combine this careful vertical control with the opening of larger areas, so that whole buildings can be seen.</w:t>
      </w:r>
    </w:p>
    <w:p w:rsidR="008E4B08" w:rsidRDefault="00C51EF0">
      <w:pPr>
        <w:pStyle w:val="Heading2"/>
        <w:keepNext/>
        <w:spacing w:before="240" w:after="120" w:line="360" w:lineRule="auto"/>
      </w:pPr>
      <w:bookmarkStart w:id="43" w:name="_Toc241908404"/>
      <w:r>
        <w:t>3.5 Survey: Studying a Whole Region</w:t>
      </w:r>
      <w:bookmarkEnd w:id="43"/>
    </w:p>
    <w:p w:rsidR="008E4B08" w:rsidRDefault="00C51EF0">
      <w:pPr>
        <w:spacing w:line="480" w:lineRule="auto"/>
        <w:jc w:val="both"/>
      </w:pPr>
      <w:r>
        <w:t>Not all archaeology involves digging. In a surface survey, teams walk systematically across a region and record the location, size and date of ancient sites from the pottery and walls visible on the surface. A survey cannot give the detail of an excavation, but it can show the pattern across a whole region: how many villages existed in a period, where they were and how they changed over time.</w:t>
      </w:r>
    </w:p>
    <w:p w:rsidR="008E4B08" w:rsidRDefault="00C51EF0">
      <w:pPr>
        <w:spacing w:line="480" w:lineRule="auto"/>
        <w:ind w:firstLine="720"/>
        <w:jc w:val="both"/>
      </w:pPr>
      <w:r>
        <w:rPr>
          <w:b/>
          <w:bCs/>
        </w:rPr>
        <w:t>Example.</w:t>
      </w:r>
      <w:r>
        <w:t xml:space="preserve"> The surveys of the central hill country carried out by Israeli archaeologists after 1967 showed that about 250 small villages appeared there in Iron Age I (about 1200–1000 BC), where very few had existed in the period before. This evidence is now central to discussions of how Israel began (Unit Seven).</w:t>
      </w:r>
      <w:r>
        <w:rPr>
          <w:vertAlign w:val="superscript"/>
        </w:rPr>
        <w:t>18</w:t>
      </w:r>
      <w:r>
        <w:t xml:space="preserve"> </w:t>
      </w:r>
      <w:proofErr w:type="gramStart"/>
      <w:r>
        <w:t>It</w:t>
      </w:r>
      <w:proofErr w:type="gramEnd"/>
      <w:r>
        <w:t xml:space="preserve"> is like a census: it does not tell us the story of each family, but it shows how the population of a whole area changed.</w:t>
      </w:r>
    </w:p>
    <w:p w:rsidR="008E4B08" w:rsidRDefault="00C51EF0">
      <w:pPr>
        <w:spacing w:line="480" w:lineRule="auto"/>
        <w:ind w:firstLine="720"/>
        <w:jc w:val="both"/>
      </w:pPr>
      <w:r>
        <w:t>Today, survey is supported by aerial photographs, satellite images and laser scanning from aircraft (LiDAR). Instruments that measure magnetism or send radar into the ground can detect buried walls before any digging begins.</w:t>
      </w:r>
    </w:p>
    <w:p w:rsidR="008E4B08" w:rsidRDefault="00C51EF0">
      <w:pPr>
        <w:pStyle w:val="Heading2"/>
        <w:keepNext/>
        <w:spacing w:before="240" w:after="120" w:line="360" w:lineRule="auto"/>
      </w:pPr>
      <w:bookmarkStart w:id="44" w:name="_Toc241908405"/>
      <w:r>
        <w:t>3.6 Excavation and Recording</w:t>
      </w:r>
      <w:bookmarkEnd w:id="44"/>
    </w:p>
    <w:p w:rsidR="008E4B08" w:rsidRDefault="00C51EF0">
      <w:pPr>
        <w:spacing w:line="480" w:lineRule="auto"/>
        <w:jc w:val="both"/>
      </w:pPr>
      <w:r>
        <w:t>Excavation destroys what it studies. Once a layer has been removed, it can never be seen again as it was. For this reason, careful recording is the heart of archaeology. A good excavation records:</w:t>
      </w:r>
    </w:p>
    <w:p w:rsidR="008E4B08" w:rsidRDefault="00C51EF0">
      <w:pPr>
        <w:pStyle w:val="ListParagraph"/>
        <w:numPr>
          <w:ilvl w:val="0"/>
          <w:numId w:val="2"/>
        </w:numPr>
        <w:spacing w:line="480" w:lineRule="auto"/>
        <w:jc w:val="both"/>
      </w:pPr>
      <w:r>
        <w:t>the exact position of each layer and object in three dimensions;</w:t>
      </w:r>
    </w:p>
    <w:p w:rsidR="008E4B08" w:rsidRDefault="00C51EF0">
      <w:pPr>
        <w:pStyle w:val="ListParagraph"/>
        <w:numPr>
          <w:ilvl w:val="0"/>
          <w:numId w:val="2"/>
        </w:numPr>
        <w:spacing w:line="480" w:lineRule="auto"/>
        <w:jc w:val="both"/>
      </w:pPr>
      <w:r>
        <w:t xml:space="preserve">written descriptions of the </w:t>
      </w:r>
      <w:proofErr w:type="spellStart"/>
      <w:r>
        <w:t>colour</w:t>
      </w:r>
      <w:proofErr w:type="spellEnd"/>
      <w:r>
        <w:t>, texture and contents of the soil;</w:t>
      </w:r>
    </w:p>
    <w:p w:rsidR="008E4B08" w:rsidRDefault="00C51EF0">
      <w:pPr>
        <w:pStyle w:val="ListParagraph"/>
        <w:numPr>
          <w:ilvl w:val="0"/>
          <w:numId w:val="2"/>
        </w:numPr>
        <w:spacing w:line="480" w:lineRule="auto"/>
        <w:jc w:val="both"/>
      </w:pPr>
      <w:r>
        <w:t>plans and drawings of the layers;</w:t>
      </w:r>
    </w:p>
    <w:p w:rsidR="008E4B08" w:rsidRDefault="00C51EF0">
      <w:pPr>
        <w:pStyle w:val="ListParagraph"/>
        <w:numPr>
          <w:ilvl w:val="0"/>
          <w:numId w:val="2"/>
        </w:numPr>
        <w:spacing w:line="480" w:lineRule="auto"/>
        <w:jc w:val="both"/>
      </w:pPr>
      <w:r>
        <w:lastRenderedPageBreak/>
        <w:t>photographs and, increasingly, three-dimensional models;</w:t>
      </w:r>
    </w:p>
    <w:p w:rsidR="008E4B08" w:rsidRDefault="00C51EF0">
      <w:pPr>
        <w:pStyle w:val="ListParagraph"/>
        <w:numPr>
          <w:ilvl w:val="0"/>
          <w:numId w:val="2"/>
        </w:numPr>
        <w:spacing w:line="480" w:lineRule="auto"/>
        <w:jc w:val="both"/>
      </w:pPr>
      <w:r>
        <w:t>a register of every important object; and</w:t>
      </w:r>
    </w:p>
    <w:p w:rsidR="008E4B08" w:rsidRDefault="00C51EF0">
      <w:pPr>
        <w:pStyle w:val="ListParagraph"/>
        <w:numPr>
          <w:ilvl w:val="0"/>
          <w:numId w:val="2"/>
        </w:numPr>
        <w:spacing w:line="480" w:lineRule="auto"/>
        <w:jc w:val="both"/>
      </w:pPr>
      <w:proofErr w:type="gramStart"/>
      <w:r>
        <w:t>samples</w:t>
      </w:r>
      <w:proofErr w:type="gramEnd"/>
      <w:r>
        <w:t xml:space="preserve"> for scientific study.</w:t>
      </w:r>
    </w:p>
    <w:p w:rsidR="008E4B08" w:rsidRDefault="00C51EF0">
      <w:pPr>
        <w:spacing w:line="480" w:lineRule="auto"/>
        <w:ind w:firstLine="720"/>
        <w:jc w:val="both"/>
      </w:pPr>
      <w:r>
        <w:t>Pottery from each locus is collected in buckets, washed and examined by specialists who identify its types and dates. Soil may be sieved, and samples may be placed in water so that seeds and charcoal float to the surface.</w:t>
      </w:r>
    </w:p>
    <w:p w:rsidR="008E4B08" w:rsidRDefault="00C51EF0">
      <w:pPr>
        <w:spacing w:line="480" w:lineRule="auto"/>
        <w:ind w:firstLine="720"/>
        <w:jc w:val="both"/>
      </w:pPr>
      <w:r>
        <w:rPr>
          <w:b/>
          <w:bCs/>
        </w:rPr>
        <w:t>Example.</w:t>
      </w:r>
      <w:r>
        <w:t xml:space="preserve"> A police investigator at a crime scene must photograph and record everything before anything is moved. Once the scene has been cleaned, the evidence cannot be recovered. An archaeological excavation is like a crime scene that is destroyed as it is examined, so every detail must be recorded.</w:t>
      </w:r>
    </w:p>
    <w:p w:rsidR="008E4B08" w:rsidRDefault="00C51EF0">
      <w:pPr>
        <w:pStyle w:val="Heading2"/>
        <w:keepNext/>
        <w:spacing w:before="240" w:after="120" w:line="360" w:lineRule="auto"/>
      </w:pPr>
      <w:bookmarkStart w:id="45" w:name="_Toc241908406"/>
      <w:r>
        <w:t>3.7 Dating Methods</w:t>
      </w:r>
      <w:bookmarkEnd w:id="45"/>
    </w:p>
    <w:p w:rsidR="008E4B08" w:rsidRDefault="00C51EF0">
      <w:pPr>
        <w:spacing w:line="480" w:lineRule="auto"/>
        <w:jc w:val="both"/>
      </w:pPr>
      <w:r>
        <w:t>Dating is the archaeologist's most important and most debated task. There are two kinds of dating.</w:t>
      </w:r>
    </w:p>
    <w:p w:rsidR="008E4B08" w:rsidRDefault="00C51EF0">
      <w:pPr>
        <w:pStyle w:val="Heading3"/>
        <w:keepNext/>
        <w:spacing w:before="120" w:after="60" w:line="360" w:lineRule="auto"/>
      </w:pPr>
      <w:r>
        <w:t>3.7.1 Relative Dating</w:t>
      </w:r>
    </w:p>
    <w:p w:rsidR="008E4B08" w:rsidRDefault="00C51EF0">
      <w:pPr>
        <w:spacing w:line="480" w:lineRule="auto"/>
        <w:jc w:val="both"/>
      </w:pPr>
      <w:r>
        <w:t xml:space="preserve">Relative dating tells us whether one layer or object is older or younger than another, without giving a calendar date. Within a site, stratigraphy provides relative dating. Across different sites, typology does the same. Typology arranges objects, especially pottery, in order according to how their shapes and decoration slowly changed. Albright's pottery sequence from Tell Beit </w:t>
      </w:r>
      <w:proofErr w:type="spellStart"/>
      <w:r>
        <w:t>Mirsim</w:t>
      </w:r>
      <w:proofErr w:type="spellEnd"/>
      <w:r>
        <w:t xml:space="preserve"> was mainly a typological sequence, to which calendar dates were later attached.</w:t>
      </w:r>
    </w:p>
    <w:p w:rsidR="008E4B08" w:rsidRDefault="00C51EF0">
      <w:pPr>
        <w:pStyle w:val="Heading3"/>
        <w:keepNext/>
        <w:spacing w:before="120" w:after="60" w:line="360" w:lineRule="auto"/>
      </w:pPr>
      <w:r>
        <w:t>3.7.2 Absolute Dating</w:t>
      </w:r>
    </w:p>
    <w:p w:rsidR="008E4B08" w:rsidRDefault="00C51EF0">
      <w:pPr>
        <w:spacing w:line="480" w:lineRule="auto"/>
        <w:jc w:val="both"/>
      </w:pPr>
      <w:r>
        <w:t>Absolute dating gives calendar dates. The main methods are as follows.</w:t>
      </w:r>
    </w:p>
    <w:p w:rsidR="008E4B08" w:rsidRDefault="00C51EF0">
      <w:pPr>
        <w:spacing w:line="480" w:lineRule="auto"/>
        <w:ind w:firstLine="720"/>
        <w:jc w:val="both"/>
      </w:pPr>
      <w:r>
        <w:rPr>
          <w:b/>
          <w:bCs/>
        </w:rPr>
        <w:t>Links with known history.</w:t>
      </w:r>
      <w:r>
        <w:t xml:space="preserve"> Before modern science, calendar dates came mainly from links with dated records from Egypt and Assyria. An object bearing the name of a known pharaoh, or a destruction recorded in an Assyrian inscription, could fix a layer in time. For </w:t>
      </w:r>
      <w:r>
        <w:lastRenderedPageBreak/>
        <w:t>example, the destruction of Lachish Level III is linked with the campaign of the Assyrian king Sennacherib in 701 BC, which is recorded both in Assyrian records and in 2 Kings 18–19.</w:t>
      </w:r>
    </w:p>
    <w:p w:rsidR="008E4B08" w:rsidRDefault="00C51EF0">
      <w:pPr>
        <w:spacing w:line="480" w:lineRule="auto"/>
        <w:ind w:firstLine="720"/>
        <w:jc w:val="both"/>
      </w:pPr>
      <w:r>
        <w:t>There is a danger here, however, called circular reasoning. If a layer is dated by a biblical story, the same layer cannot then be used as independent proof that the story is true.</w:t>
      </w:r>
    </w:p>
    <w:p w:rsidR="008E4B08" w:rsidRDefault="00C51EF0">
      <w:pPr>
        <w:spacing w:line="480" w:lineRule="auto"/>
        <w:ind w:firstLine="720"/>
        <w:jc w:val="both"/>
      </w:pPr>
      <w:r>
        <w:rPr>
          <w:b/>
          <w:bCs/>
        </w:rPr>
        <w:t>Example.</w:t>
      </w:r>
      <w:r>
        <w:t xml:space="preserve"> Suppose a student says, "This exam paper must be from 2020 because it is in the 2020 file", and then later says, "The 2020 file is correct because it contains this exam paper." He has proved nothing; he has simply gone round in a circle. Archaeologists must avoid this kind of argument.</w:t>
      </w:r>
    </w:p>
    <w:p w:rsidR="008E4B08" w:rsidRDefault="00C51EF0">
      <w:pPr>
        <w:spacing w:line="480" w:lineRule="auto"/>
        <w:ind w:firstLine="720"/>
        <w:jc w:val="both"/>
      </w:pPr>
      <w:r>
        <w:rPr>
          <w:b/>
          <w:bCs/>
        </w:rPr>
        <w:t>Coins.</w:t>
      </w:r>
      <w:r>
        <w:t xml:space="preserve"> From the Persian period onwards, coins help with dating, though coins may stay in use for many years after they are made. A coin gives the earliest possible date for the layer in which it is found.</w:t>
      </w:r>
    </w:p>
    <w:p w:rsidR="008E4B08" w:rsidRDefault="00C51EF0">
      <w:pPr>
        <w:spacing w:line="480" w:lineRule="auto"/>
        <w:ind w:firstLine="720"/>
        <w:jc w:val="both"/>
      </w:pPr>
      <w:r>
        <w:rPr>
          <w:b/>
          <w:bCs/>
        </w:rPr>
        <w:t>Radiocarbon dating.</w:t>
      </w:r>
      <w:r>
        <w:t xml:space="preserve"> All living things take in carbon, including a small amount of a radioactive form called carbon-14. After death, carbon-14 slowly decays at a known rate. By measuring how much remains in seeds, charcoal or bone, scientists can estimate its age. The results must be "calibrated" (adjusted) using tree-ring records to give calendar dates. Short-lived materials such as seeds and olive stones are preferred to wood from old trees, which may give dates that are too early.</w:t>
      </w:r>
    </w:p>
    <w:p w:rsidR="008E4B08" w:rsidRDefault="00C51EF0">
      <w:pPr>
        <w:spacing w:line="480" w:lineRule="auto"/>
        <w:ind w:firstLine="720"/>
        <w:jc w:val="both"/>
      </w:pPr>
      <w:r>
        <w:t xml:space="preserve">Radiocarbon has become central in the debate about the early Iron Age. Because of irregularities in the calibration curve, results often have a range of several decades. Statistical methods can narrow this range by combining radiocarbon dates with the known order of the layers. The work of </w:t>
      </w:r>
      <w:proofErr w:type="spellStart"/>
      <w:r>
        <w:t>Amihai</w:t>
      </w:r>
      <w:proofErr w:type="spellEnd"/>
      <w:r>
        <w:t xml:space="preserve"> </w:t>
      </w:r>
      <w:proofErr w:type="spellStart"/>
      <w:r>
        <w:t>Mazar</w:t>
      </w:r>
      <w:proofErr w:type="spellEnd"/>
      <w:r>
        <w:t xml:space="preserve"> and Christopher </w:t>
      </w:r>
      <w:proofErr w:type="spellStart"/>
      <w:r>
        <w:t>Bronk</w:t>
      </w:r>
      <w:proofErr w:type="spellEnd"/>
      <w:r>
        <w:t xml:space="preserve"> Ramsey at Tel </w:t>
      </w:r>
      <w:proofErr w:type="spellStart"/>
      <w:r>
        <w:t>Rehov</w:t>
      </w:r>
      <w:proofErr w:type="spellEnd"/>
      <w:r>
        <w:t xml:space="preserve"> shows both the power of the method and the continuing disagreement among scholars.</w:t>
      </w:r>
      <w:r>
        <w:rPr>
          <w:vertAlign w:val="superscript"/>
        </w:rPr>
        <w:t>19</w:t>
      </w:r>
    </w:p>
    <w:p w:rsidR="008E4B08" w:rsidRDefault="00C51EF0">
      <w:pPr>
        <w:spacing w:line="480" w:lineRule="auto"/>
        <w:ind w:firstLine="720"/>
        <w:jc w:val="both"/>
      </w:pPr>
      <w:r>
        <w:rPr>
          <w:b/>
          <w:bCs/>
        </w:rPr>
        <w:t>Other methods.</w:t>
      </w:r>
      <w:r>
        <w:t xml:space="preserve"> Tree rings, </w:t>
      </w:r>
      <w:proofErr w:type="spellStart"/>
      <w:r>
        <w:t>thermoluminescence</w:t>
      </w:r>
      <w:proofErr w:type="spellEnd"/>
      <w:r>
        <w:t xml:space="preserve"> (for fired materials such as pottery), </w:t>
      </w:r>
      <w:proofErr w:type="spellStart"/>
      <w:r>
        <w:t>archaeomagnetism</w:t>
      </w:r>
      <w:proofErr w:type="spellEnd"/>
      <w:r>
        <w:t xml:space="preserve"> (the magnetic record in burnt material) and other techniques are used in special cases.</w:t>
      </w:r>
    </w:p>
    <w:p w:rsidR="008E4B08" w:rsidRDefault="00C51EF0">
      <w:pPr>
        <w:pStyle w:val="Heading2"/>
        <w:keepNext/>
        <w:spacing w:before="240" w:after="120" w:line="360" w:lineRule="auto"/>
      </w:pPr>
      <w:bookmarkStart w:id="46" w:name="_Toc241908407"/>
      <w:r>
        <w:lastRenderedPageBreak/>
        <w:t>3.8 Interpretation</w:t>
      </w:r>
      <w:bookmarkEnd w:id="46"/>
    </w:p>
    <w:p w:rsidR="008E4B08" w:rsidRDefault="00C51EF0">
      <w:pPr>
        <w:spacing w:line="480" w:lineRule="auto"/>
        <w:jc w:val="both"/>
      </w:pPr>
      <w:r>
        <w:t>Interpretation moves from describing what was found to explaining it. It asks what a building was used for, who lived in a village, why a city was destroyed and how a society was organised. Here theory becomes important.</w:t>
      </w:r>
    </w:p>
    <w:p w:rsidR="008E4B08" w:rsidRDefault="00C51EF0">
      <w:pPr>
        <w:pStyle w:val="ListParagraph"/>
        <w:numPr>
          <w:ilvl w:val="0"/>
          <w:numId w:val="2"/>
        </w:numPr>
        <w:spacing w:line="480" w:lineRule="auto"/>
        <w:jc w:val="both"/>
      </w:pPr>
      <w:r>
        <w:rPr>
          <w:b/>
          <w:bCs/>
        </w:rPr>
        <w:t>Culture-history archaeology</w:t>
      </w:r>
      <w:r>
        <w:t>, common before the 1960s, tried to identify peoples by typical objects and trace their movements. It often equated a style of pottery with an ethnic group, for example "Philistine pottery" with the Philistines.</w:t>
      </w:r>
    </w:p>
    <w:p w:rsidR="008E4B08" w:rsidRDefault="00C51EF0">
      <w:pPr>
        <w:pStyle w:val="ListParagraph"/>
        <w:numPr>
          <w:ilvl w:val="0"/>
          <w:numId w:val="2"/>
        </w:numPr>
        <w:spacing w:line="480" w:lineRule="auto"/>
        <w:jc w:val="both"/>
      </w:pPr>
      <w:r>
        <w:rPr>
          <w:b/>
          <w:bCs/>
        </w:rPr>
        <w:t>Processual archaeology</w:t>
      </w:r>
      <w:r>
        <w:t xml:space="preserve"> (the New Archaeology) looked for general laws of change, emphasising environment and economy.</w:t>
      </w:r>
    </w:p>
    <w:p w:rsidR="008E4B08" w:rsidRDefault="00C51EF0">
      <w:pPr>
        <w:pStyle w:val="ListParagraph"/>
        <w:numPr>
          <w:ilvl w:val="0"/>
          <w:numId w:val="2"/>
        </w:numPr>
        <w:spacing w:line="480" w:lineRule="auto"/>
        <w:jc w:val="both"/>
      </w:pPr>
      <w:r>
        <w:rPr>
          <w:b/>
          <w:bCs/>
        </w:rPr>
        <w:t>Post-processual archaeology</w:t>
      </w:r>
      <w:r>
        <w:t xml:space="preserve"> stressed that objects carry meaning and that interpreters bring their own views.</w:t>
      </w:r>
    </w:p>
    <w:p w:rsidR="008E4B08" w:rsidRDefault="00C51EF0">
      <w:pPr>
        <w:spacing w:line="480" w:lineRule="auto"/>
        <w:ind w:firstLine="720"/>
        <w:jc w:val="both"/>
      </w:pPr>
      <w:r>
        <w:t xml:space="preserve">Most archaeologists today combine all three. One difficult question is whether we can </w:t>
      </w:r>
      <w:proofErr w:type="spellStart"/>
      <w:r>
        <w:t>recognise</w:t>
      </w:r>
      <w:proofErr w:type="spellEnd"/>
      <w:r>
        <w:t xml:space="preserve"> ethnic identity from objects. Can we tell an "Israelite" village by its houses, pottery or food? Avraham Faust argues that the absence of pig bones, the use of plain pottery and the four-room house may point to Israelite identity in Iron Age I. Others think these features may reflect economy or environment rather than ethnicity.</w:t>
      </w:r>
      <w:r>
        <w:rPr>
          <w:vertAlign w:val="superscript"/>
        </w:rPr>
        <w:t>20</w:t>
      </w:r>
    </w:p>
    <w:p w:rsidR="008E4B08" w:rsidRDefault="00C51EF0">
      <w:pPr>
        <w:spacing w:line="480" w:lineRule="auto"/>
        <w:ind w:firstLine="720"/>
        <w:jc w:val="both"/>
      </w:pPr>
      <w:r>
        <w:rPr>
          <w:b/>
          <w:bCs/>
        </w:rPr>
        <w:t>Example.</w:t>
      </w:r>
      <w:r>
        <w:t xml:space="preserve"> In a Nigerian city, a researcher who found no pork bones in a house might think the family was Muslim. But the family might simply have been poor, or might not have liked pork. Absence of a food is a clue, not proof. The same caution applies to ancient Israel.</w:t>
      </w:r>
    </w:p>
    <w:p w:rsidR="008E4B08" w:rsidRDefault="00C51EF0">
      <w:pPr>
        <w:pStyle w:val="Heading2"/>
        <w:keepNext/>
        <w:spacing w:before="240" w:after="120" w:line="360" w:lineRule="auto"/>
      </w:pPr>
      <w:bookmarkStart w:id="47" w:name="_Toc241908408"/>
      <w:r>
        <w:t>3.9 Publication</w:t>
      </w:r>
      <w:bookmarkEnd w:id="47"/>
    </w:p>
    <w:p w:rsidR="008E4B08" w:rsidRDefault="00C51EF0">
      <w:pPr>
        <w:spacing w:line="480" w:lineRule="auto"/>
        <w:jc w:val="both"/>
      </w:pPr>
      <w:r>
        <w:t>An excavation that is never published is almost the same as a destroyed site. Responsible archaeologists must publish preliminary and final reports, with plans, drawings, photographs and specialist studies. Sadly, many important excavations remain unpublished decades later. Students should distinguish between primary excavation reports, scholarly summaries and popular accounts, and should be careful with claims reported only in newspapers or online.</w:t>
      </w:r>
    </w:p>
    <w:p w:rsidR="008E4B08" w:rsidRDefault="00C51EF0">
      <w:pPr>
        <w:pStyle w:val="Heading2"/>
        <w:keepNext/>
        <w:spacing w:before="240" w:after="120" w:line="360" w:lineRule="auto"/>
      </w:pPr>
      <w:bookmarkStart w:id="48" w:name="_Toc241908409"/>
      <w:r>
        <w:lastRenderedPageBreak/>
        <w:t>3.10 How to Read an Excavation Report</w:t>
      </w:r>
      <w:bookmarkEnd w:id="48"/>
    </w:p>
    <w:p w:rsidR="008E4B08" w:rsidRDefault="00C51EF0">
      <w:pPr>
        <w:spacing w:line="480" w:lineRule="auto"/>
        <w:jc w:val="both"/>
      </w:pPr>
      <w:r>
        <w:t>When you read archaeological literature, ask these questions:</w:t>
      </w:r>
    </w:p>
    <w:p w:rsidR="008E4B08" w:rsidRDefault="00C51EF0">
      <w:pPr>
        <w:tabs>
          <w:tab w:val="left" w:pos="720"/>
        </w:tabs>
        <w:spacing w:line="480" w:lineRule="auto"/>
        <w:ind w:left="720" w:hanging="360"/>
        <w:jc w:val="both"/>
      </w:pPr>
      <w:r>
        <w:t>1.</w:t>
      </w:r>
      <w:r>
        <w:tab/>
        <w:t>Is this a primary report, a scholarly summary or a popular account?</w:t>
      </w:r>
    </w:p>
    <w:p w:rsidR="008E4B08" w:rsidRDefault="00C51EF0">
      <w:pPr>
        <w:tabs>
          <w:tab w:val="left" w:pos="720"/>
        </w:tabs>
        <w:spacing w:line="480" w:lineRule="auto"/>
        <w:ind w:left="720" w:hanging="360"/>
        <w:jc w:val="both"/>
      </w:pPr>
      <w:r>
        <w:t>2.</w:t>
      </w:r>
      <w:r>
        <w:tab/>
        <w:t>How was the evidence dug and recorded?</w:t>
      </w:r>
    </w:p>
    <w:p w:rsidR="008E4B08" w:rsidRDefault="00C51EF0">
      <w:pPr>
        <w:tabs>
          <w:tab w:val="left" w:pos="720"/>
        </w:tabs>
        <w:spacing w:line="480" w:lineRule="auto"/>
        <w:ind w:left="720" w:hanging="360"/>
        <w:jc w:val="both"/>
      </w:pPr>
      <w:r>
        <w:t>3.</w:t>
      </w:r>
      <w:r>
        <w:tab/>
        <w:t>What is the basis of the date: layers, pottery, radiocarbon, a historical link or the Bible?</w:t>
      </w:r>
    </w:p>
    <w:p w:rsidR="008E4B08" w:rsidRDefault="00C51EF0">
      <w:pPr>
        <w:tabs>
          <w:tab w:val="left" w:pos="720"/>
        </w:tabs>
        <w:spacing w:line="480" w:lineRule="auto"/>
        <w:ind w:left="720" w:hanging="360"/>
        <w:jc w:val="both"/>
      </w:pPr>
      <w:r>
        <w:t>4.</w:t>
      </w:r>
      <w:r>
        <w:tab/>
        <w:t>Does the author consider other interpretations?</w:t>
      </w:r>
    </w:p>
    <w:p w:rsidR="008E4B08" w:rsidRDefault="00C51EF0">
      <w:pPr>
        <w:tabs>
          <w:tab w:val="left" w:pos="720"/>
        </w:tabs>
        <w:spacing w:line="480" w:lineRule="auto"/>
        <w:ind w:left="720" w:hanging="360"/>
        <w:jc w:val="both"/>
      </w:pPr>
      <w:r>
        <w:t>5.</w:t>
      </w:r>
      <w:r>
        <w:tab/>
        <w:t>Is there any circular reasoning between the Bible and the ground?</w:t>
      </w:r>
    </w:p>
    <w:p w:rsidR="008E4B08" w:rsidRDefault="00C51EF0">
      <w:pPr>
        <w:tabs>
          <w:tab w:val="left" w:pos="720"/>
        </w:tabs>
        <w:spacing w:line="480" w:lineRule="auto"/>
        <w:ind w:left="720" w:hanging="360"/>
        <w:jc w:val="both"/>
      </w:pPr>
      <w:r>
        <w:t>6.</w:t>
      </w:r>
      <w:r>
        <w:tab/>
        <w:t>Was the object found in a proper excavation, or was it bought from a dealer?</w:t>
      </w:r>
    </w:p>
    <w:p w:rsidR="008E4B08" w:rsidRDefault="00C51EF0">
      <w:pPr>
        <w:pStyle w:val="Heading2"/>
        <w:keepNext/>
        <w:spacing w:before="240" w:after="120" w:line="360" w:lineRule="auto"/>
      </w:pPr>
      <w:bookmarkStart w:id="49" w:name="_Toc241908410"/>
      <w:r>
        <w:t>3.11 Summary</w:t>
      </w:r>
      <w:bookmarkEnd w:id="49"/>
    </w:p>
    <w:p w:rsidR="008E4B08" w:rsidRDefault="00C51EF0">
      <w:pPr>
        <w:spacing w:line="480" w:lineRule="auto"/>
        <w:jc w:val="both"/>
      </w:pPr>
      <w:r>
        <w:t>A tell is formed by layers of towns built one on top of another, and stratigraphy is the study of those layers. Survey shows patterns across a region, while excavation reveals details but destroys what it studies and must be carefully recorded. Relative dating uses layers and pottery styles; absolute dating uses historical links, coins and scientific methods such as radiocarbon. Interpretation depends on theory, and claims about ethnic identity and history must be made with care. Publication is a duty of every excavator.</w:t>
      </w:r>
    </w:p>
    <w:p w:rsidR="008E4B08" w:rsidRDefault="00C51EF0">
      <w:pPr>
        <w:pStyle w:val="Heading2"/>
        <w:keepNext/>
        <w:spacing w:before="240" w:after="120" w:line="360" w:lineRule="auto"/>
      </w:pPr>
      <w:bookmarkStart w:id="50" w:name="_Toc241908411"/>
      <w:r>
        <w:t>3.12 Life Application</w:t>
      </w:r>
      <w:bookmarkEnd w:id="50"/>
    </w:p>
    <w:p w:rsidR="008E4B08" w:rsidRDefault="00C51EF0">
      <w:pPr>
        <w:spacing w:line="480" w:lineRule="auto"/>
        <w:jc w:val="both"/>
      </w:pPr>
      <w:r>
        <w:t>The methods of archaeology teach patience, care and honesty, which are also needed in the Christian life and in ministry.</w:t>
      </w:r>
    </w:p>
    <w:p w:rsidR="008E4B08" w:rsidRDefault="00C51EF0">
      <w:pPr>
        <w:pStyle w:val="ListParagraph"/>
        <w:numPr>
          <w:ilvl w:val="0"/>
          <w:numId w:val="2"/>
        </w:numPr>
        <w:spacing w:line="480" w:lineRule="auto"/>
        <w:jc w:val="both"/>
      </w:pPr>
      <w:r>
        <w:rPr>
          <w:b/>
          <w:bCs/>
        </w:rPr>
        <w:t>Dig carefully, layer by layer.</w:t>
      </w:r>
      <w:r>
        <w:t xml:space="preserve"> Archaeologists move slowly because every layer matters. Likewise, the interpreter of Scripture must study each passage in its context, without hasty conclusions (2 Tim 2:15).</w:t>
      </w:r>
    </w:p>
    <w:p w:rsidR="008E4B08" w:rsidRDefault="00C51EF0">
      <w:pPr>
        <w:pStyle w:val="ListParagraph"/>
        <w:numPr>
          <w:ilvl w:val="0"/>
          <w:numId w:val="2"/>
        </w:numPr>
        <w:spacing w:line="480" w:lineRule="auto"/>
        <w:jc w:val="both"/>
      </w:pPr>
      <w:r>
        <w:rPr>
          <w:b/>
          <w:bCs/>
        </w:rPr>
        <w:t>Keep accurate records.</w:t>
      </w:r>
      <w:r>
        <w:t xml:space="preserve"> Excavation destroys what it studies, so the record is everything. In ministry, careful records of finances, decisions and pastoral care protect the church and </w:t>
      </w:r>
      <w:proofErr w:type="spellStart"/>
      <w:r>
        <w:t>honour</w:t>
      </w:r>
      <w:proofErr w:type="spellEnd"/>
      <w:r>
        <w:t xml:space="preserve"> God.</w:t>
      </w:r>
    </w:p>
    <w:p w:rsidR="008E4B08" w:rsidRDefault="00C51EF0">
      <w:pPr>
        <w:pStyle w:val="ListParagraph"/>
        <w:numPr>
          <w:ilvl w:val="0"/>
          <w:numId w:val="2"/>
        </w:numPr>
        <w:spacing w:line="480" w:lineRule="auto"/>
        <w:jc w:val="both"/>
      </w:pPr>
      <w:r>
        <w:rPr>
          <w:b/>
          <w:bCs/>
        </w:rPr>
        <w:lastRenderedPageBreak/>
        <w:t>Know the basis of your claims.</w:t>
      </w:r>
      <w:r>
        <w:t xml:space="preserve"> A good archaeologist asks how every date was obtained. A good teacher asks on what ground every statement rests: Scripture, evidence or opinion.</w:t>
      </w:r>
    </w:p>
    <w:p w:rsidR="008E4B08" w:rsidRDefault="00C51EF0">
      <w:pPr>
        <w:pStyle w:val="ListParagraph"/>
        <w:numPr>
          <w:ilvl w:val="0"/>
          <w:numId w:val="2"/>
        </w:numPr>
        <w:spacing w:line="480" w:lineRule="auto"/>
        <w:jc w:val="both"/>
      </w:pPr>
      <w:r>
        <w:rPr>
          <w:b/>
          <w:bCs/>
        </w:rPr>
        <w:t>Avoid going round in circles.</w:t>
      </w:r>
      <w:r>
        <w:t xml:space="preserve"> It is easy to interpret events in a way that simply confirms what we already believe. The Holy Spirit calls us to examine ourselves honestly (Ps 139:23–24).</w:t>
      </w:r>
    </w:p>
    <w:p w:rsidR="008E4B08" w:rsidRDefault="00C51EF0">
      <w:pPr>
        <w:pStyle w:val="ListParagraph"/>
        <w:numPr>
          <w:ilvl w:val="0"/>
          <w:numId w:val="2"/>
        </w:numPr>
        <w:spacing w:line="480" w:lineRule="auto"/>
        <w:jc w:val="both"/>
      </w:pPr>
      <w:r>
        <w:rPr>
          <w:b/>
          <w:bCs/>
        </w:rPr>
        <w:t>Finish and share your work.</w:t>
      </w:r>
      <w:r>
        <w:t xml:space="preserve"> An unpublished excavation is a loss to everyone. The gifts and knowledge God has given us should be shared to build up others, not hidden.</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Lord, give me patience to study your Word carefully and diligence to handle it rightly. Help me to be faithful in keeping records and accountable in all my work. Search my heart and keep me from deceiving myself. Let the knowledge you have given me bless others. In Jesus' name. Amen.</w:t>
      </w:r>
    </w:p>
    <w:p w:rsidR="008E4B08" w:rsidRDefault="00C51EF0">
      <w:pPr>
        <w:pStyle w:val="Heading2"/>
        <w:keepNext/>
        <w:spacing w:before="240" w:after="120" w:line="360" w:lineRule="auto"/>
      </w:pPr>
      <w:bookmarkStart w:id="51" w:name="_Toc241908412"/>
      <w:r>
        <w:t>3.13 Discussion Questions</w:t>
      </w:r>
      <w:bookmarkEnd w:id="51"/>
    </w:p>
    <w:p w:rsidR="008E4B08" w:rsidRDefault="00C51EF0">
      <w:pPr>
        <w:tabs>
          <w:tab w:val="left" w:pos="720"/>
        </w:tabs>
        <w:spacing w:line="480" w:lineRule="auto"/>
        <w:ind w:left="720" w:hanging="360"/>
        <w:jc w:val="both"/>
      </w:pPr>
      <w:r>
        <w:t>1.</w:t>
      </w:r>
      <w:r>
        <w:tab/>
        <w:t xml:space="preserve">Explain the law of superposition and the main ways in which it can be disturbed on </w:t>
      </w:r>
      <w:proofErr w:type="gramStart"/>
      <w:r>
        <w:t>a tell</w:t>
      </w:r>
      <w:proofErr w:type="gramEnd"/>
      <w:r>
        <w:t>.</w:t>
      </w:r>
    </w:p>
    <w:p w:rsidR="008E4B08" w:rsidRDefault="00C51EF0">
      <w:pPr>
        <w:tabs>
          <w:tab w:val="left" w:pos="720"/>
        </w:tabs>
        <w:spacing w:line="480" w:lineRule="auto"/>
        <w:ind w:left="720" w:hanging="360"/>
        <w:jc w:val="both"/>
      </w:pPr>
      <w:r>
        <w:t>2.</w:t>
      </w:r>
      <w:r>
        <w:tab/>
        <w:t>Assess the value and the limits of radiocarbon dating in biblical archaeology.</w:t>
      </w:r>
    </w:p>
    <w:p w:rsidR="008E4B08" w:rsidRDefault="00C51EF0">
      <w:pPr>
        <w:tabs>
          <w:tab w:val="left" w:pos="720"/>
        </w:tabs>
        <w:spacing w:line="480" w:lineRule="auto"/>
        <w:ind w:left="720" w:hanging="360"/>
        <w:jc w:val="both"/>
      </w:pPr>
      <w:r>
        <w:t>3.</w:t>
      </w:r>
      <w:r>
        <w:tab/>
        <w:t>Discuss the danger of circular reasoning when biblical texts are used to date archaeological layers.</w:t>
      </w:r>
    </w:p>
    <w:p w:rsidR="008E4B08" w:rsidRDefault="00C51EF0">
      <w:pPr>
        <w:tabs>
          <w:tab w:val="left" w:pos="720"/>
        </w:tabs>
        <w:spacing w:line="480" w:lineRule="auto"/>
        <w:ind w:left="720" w:hanging="360"/>
        <w:jc w:val="both"/>
      </w:pPr>
      <w:r>
        <w:t>4.</w:t>
      </w:r>
      <w:r>
        <w:tab/>
        <w:t>Can objects reveal ethnic identity? Discuss with reference to early Israel and to an example from your own society.</w:t>
      </w:r>
    </w:p>
    <w:p w:rsidR="008E4B08" w:rsidRDefault="00C51EF0">
      <w:pPr>
        <w:pStyle w:val="Heading2"/>
        <w:keepNext/>
        <w:spacing w:before="240" w:after="120" w:line="360" w:lineRule="auto"/>
      </w:pPr>
      <w:bookmarkStart w:id="52" w:name="_Toc241908413"/>
      <w:r>
        <w:t>3.14 Further Reading</w:t>
      </w:r>
      <w:bookmarkEnd w:id="52"/>
    </w:p>
    <w:p w:rsidR="008E4B08" w:rsidRDefault="00C51EF0">
      <w:pPr>
        <w:spacing w:after="160"/>
        <w:ind w:left="720" w:hanging="720"/>
      </w:pPr>
      <w:proofErr w:type="spellStart"/>
      <w:r>
        <w:t>Currid</w:t>
      </w:r>
      <w:proofErr w:type="spellEnd"/>
      <w:r>
        <w:t xml:space="preserve">, John D. </w:t>
      </w:r>
      <w:r>
        <w:rPr>
          <w:i/>
          <w:iCs/>
        </w:rPr>
        <w:t>Doing Archaeology in the Land of the Bible: A Basic Guide</w:t>
      </w:r>
      <w:r>
        <w:t>. Grand Rapids: Baker, 1999.</w:t>
      </w:r>
    </w:p>
    <w:p w:rsidR="008E4B08" w:rsidRDefault="00C51EF0">
      <w:pPr>
        <w:spacing w:after="160"/>
        <w:ind w:left="720" w:hanging="720"/>
      </w:pPr>
      <w:r>
        <w:t xml:space="preserve">Levy, Thomas E., ed. </w:t>
      </w:r>
      <w:r>
        <w:rPr>
          <w:i/>
          <w:iCs/>
        </w:rPr>
        <w:t>Historical Biblical Archaeology and the Future: The New Pragmatism</w:t>
      </w:r>
      <w:r>
        <w:t>. London: Equinox, 2010.</w:t>
      </w:r>
    </w:p>
    <w:p w:rsidR="008E4B08" w:rsidRDefault="00C51EF0">
      <w:pPr>
        <w:spacing w:after="160"/>
        <w:ind w:left="720" w:hanging="720"/>
      </w:pPr>
      <w:r>
        <w:lastRenderedPageBreak/>
        <w:t xml:space="preserve">Renfrew, Colin, and Paul </w:t>
      </w:r>
      <w:proofErr w:type="spellStart"/>
      <w:r>
        <w:t>Bahn</w:t>
      </w:r>
      <w:proofErr w:type="spellEnd"/>
      <w:r>
        <w:t xml:space="preserve">. </w:t>
      </w:r>
      <w:r>
        <w:rPr>
          <w:i/>
          <w:iCs/>
        </w:rPr>
        <w:t>Archaeology: Theories, Methods and Practice</w:t>
      </w:r>
      <w:r>
        <w:t>. 7th ed. London: Thames &amp; Hudson, 2016.</w:t>
      </w:r>
    </w:p>
    <w:p w:rsidR="008E4B08" w:rsidRDefault="00C51EF0">
      <w:pPr>
        <w:pStyle w:val="Heading1"/>
        <w:pageBreakBefore/>
        <w:spacing w:after="360" w:line="360" w:lineRule="auto"/>
        <w:jc w:val="center"/>
      </w:pPr>
      <w:bookmarkStart w:id="53" w:name="_Toc241908414"/>
      <w:r>
        <w:lastRenderedPageBreak/>
        <w:t>UNIT FOUR: ARCHAEOLOGY, HISTORY AND BIBLICAL INTERPRETATION</w:t>
      </w:r>
      <w:bookmarkEnd w:id="53"/>
    </w:p>
    <w:p w:rsidR="008E4B08" w:rsidRDefault="00C51EF0">
      <w:pPr>
        <w:pStyle w:val="Heading2"/>
        <w:keepNext/>
        <w:spacing w:before="240" w:after="120" w:line="360" w:lineRule="auto"/>
      </w:pPr>
      <w:bookmarkStart w:id="54" w:name="_Toc241908415"/>
      <w:r>
        <w:t>4.1 Introduction</w:t>
      </w:r>
      <w:bookmarkEnd w:id="54"/>
    </w:p>
    <w:p w:rsidR="008E4B08" w:rsidRDefault="00C51EF0">
      <w:pPr>
        <w:spacing w:line="480" w:lineRule="auto"/>
        <w:jc w:val="both"/>
      </w:pPr>
      <w:r>
        <w:t>The hardest questions in biblical archaeology are not about digging but about interpretation. How should evidence from the ground be related to evidence from the Bible? What kind of history do the biblical writers intend to give us? When the Bible and archaeology seem to disagree, which should we follow, and why? These questions lie where archaeology, history, literary study and theology meet. This unit examines the main approaches and offers guidelines for responsible practice.</w:t>
      </w:r>
    </w:p>
    <w:p w:rsidR="008E4B08" w:rsidRDefault="00C51EF0">
      <w:pPr>
        <w:pStyle w:val="Heading2"/>
        <w:keepNext/>
        <w:spacing w:before="240" w:after="120" w:line="360" w:lineRule="auto"/>
      </w:pPr>
      <w:bookmarkStart w:id="55" w:name="_Toc241908416"/>
      <w:r>
        <w:t>4.2 Learning Objectives</w:t>
      </w:r>
      <w:bookmarkEnd w:id="55"/>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explain the nature of the Bible as historical testimony;</w:t>
      </w:r>
    </w:p>
    <w:p w:rsidR="008E4B08" w:rsidRDefault="00C51EF0">
      <w:pPr>
        <w:pStyle w:val="ListParagraph"/>
        <w:numPr>
          <w:ilvl w:val="0"/>
          <w:numId w:val="2"/>
        </w:numPr>
        <w:spacing w:line="480" w:lineRule="auto"/>
        <w:jc w:val="both"/>
      </w:pPr>
      <w:r>
        <w:t>describe the main ways of relating archaeology to the Bible;</w:t>
      </w:r>
    </w:p>
    <w:p w:rsidR="008E4B08" w:rsidRDefault="00C51EF0">
      <w:pPr>
        <w:pStyle w:val="ListParagraph"/>
        <w:numPr>
          <w:ilvl w:val="0"/>
          <w:numId w:val="2"/>
        </w:numPr>
        <w:spacing w:line="480" w:lineRule="auto"/>
        <w:jc w:val="both"/>
      </w:pPr>
      <w:r>
        <w:t>discuss the problems of proving and disproving biblical history; and</w:t>
      </w:r>
    </w:p>
    <w:p w:rsidR="008E4B08" w:rsidRDefault="00C51EF0">
      <w:pPr>
        <w:pStyle w:val="ListParagraph"/>
        <w:numPr>
          <w:ilvl w:val="0"/>
          <w:numId w:val="2"/>
        </w:numPr>
        <w:spacing w:line="480" w:lineRule="auto"/>
        <w:jc w:val="both"/>
      </w:pPr>
      <w:proofErr w:type="gramStart"/>
      <w:r>
        <w:t>state</w:t>
      </w:r>
      <w:proofErr w:type="gramEnd"/>
      <w:r>
        <w:t xml:space="preserve"> principles for the responsible use of archaeology in interpretation.</w:t>
      </w:r>
    </w:p>
    <w:p w:rsidR="008E4B08" w:rsidRDefault="00C51EF0">
      <w:pPr>
        <w:pStyle w:val="Heading2"/>
        <w:keepNext/>
        <w:spacing w:before="240" w:after="120" w:line="360" w:lineRule="auto"/>
      </w:pPr>
      <w:bookmarkStart w:id="56" w:name="_Toc241908417"/>
      <w:r>
        <w:t>4.3 The Bible as Historical Testimony</w:t>
      </w:r>
      <w:bookmarkEnd w:id="56"/>
    </w:p>
    <w:p w:rsidR="008E4B08" w:rsidRDefault="00C51EF0">
      <w:pPr>
        <w:spacing w:line="480" w:lineRule="auto"/>
        <w:jc w:val="both"/>
      </w:pPr>
      <w:r>
        <w:t>The Bible is not a modern history textbook. Its narrative books are theological history. They tell what happened in order to declare the acts of God, to call God's people to faithfulness and to explain the meaning of the past for the present. The books of Kings, for example, judge each king by his loyalty to the Lord, and they refer readers to other sources, such as "the Book of the Chronicles of the Kings of Israel", for more information. Luke tells us that he followed everything carefully and wrote "an orderly account" (Luke 1:3).</w:t>
      </w:r>
    </w:p>
    <w:p w:rsidR="008E4B08" w:rsidRDefault="00C51EF0">
      <w:pPr>
        <w:spacing w:line="480" w:lineRule="auto"/>
        <w:ind w:firstLine="720"/>
        <w:jc w:val="both"/>
      </w:pPr>
      <w:r>
        <w:t xml:space="preserve">Iain </w:t>
      </w:r>
      <w:proofErr w:type="spellStart"/>
      <w:r>
        <w:t>Provan</w:t>
      </w:r>
      <w:proofErr w:type="spellEnd"/>
      <w:r>
        <w:t xml:space="preserve">, V. Philips Long and </w:t>
      </w:r>
      <w:proofErr w:type="spellStart"/>
      <w:r>
        <w:t>Tremper</w:t>
      </w:r>
      <w:proofErr w:type="spellEnd"/>
      <w:r>
        <w:t xml:space="preserve"> Longman argue that all history writing, ancient and modern, depends on testimony. The biblical narratives should therefore be received </w:t>
      </w:r>
      <w:r>
        <w:lastRenderedPageBreak/>
        <w:t>as testimony to be weighed, neither believed without thought nor rejected in advance.</w:t>
      </w:r>
      <w:r>
        <w:rPr>
          <w:vertAlign w:val="superscript"/>
        </w:rPr>
        <w:t>21</w:t>
      </w:r>
      <w:r>
        <w:t xml:space="preserve"> </w:t>
      </w:r>
      <w:proofErr w:type="gramStart"/>
      <w:r>
        <w:t>On</w:t>
      </w:r>
      <w:proofErr w:type="gramEnd"/>
      <w:r>
        <w:t xml:space="preserve"> this view, the lack of outside confirmation does not prove that an event did not happen. Critics reply that ancient texts contain legend and propaganda and that all testimony must be tested. A doctoral student must be able to state both views fairly.</w:t>
      </w:r>
    </w:p>
    <w:p w:rsidR="008E4B08" w:rsidRDefault="00C51EF0">
      <w:pPr>
        <w:spacing w:line="480" w:lineRule="auto"/>
        <w:ind w:firstLine="720"/>
        <w:jc w:val="both"/>
      </w:pPr>
      <w:r>
        <w:rPr>
          <w:b/>
          <w:bCs/>
        </w:rPr>
        <w:t>Example.</w:t>
      </w:r>
      <w:r>
        <w:t xml:space="preserve"> In a Nigerian court, a judge listens to witnesses. He does not believe a witness simply because he speaks with confidence, but neither does he reject a witness simply because there is no photograph of the event. He weighs the testimony, checks it against other evidence and considers the character of the witness. The Bible's historical accounts deserve the same careful and respectful hearing.</w:t>
      </w:r>
    </w:p>
    <w:p w:rsidR="008E4B08" w:rsidRDefault="00C51EF0">
      <w:pPr>
        <w:spacing w:line="480" w:lineRule="auto"/>
        <w:ind w:firstLine="720"/>
        <w:jc w:val="both"/>
      </w:pPr>
      <w:r>
        <w:t>The type of writing (genre) is very important. The early chapters of Genesis, the stories of the patriarchs, the court history of David and the stories of Elijah and Elisha are different kinds of literature, and their relationship to history may differ. Archaeology cannot decide questions of genre, but it can sometimes show whether a story fits the world of the period it describes.</w:t>
      </w:r>
    </w:p>
    <w:p w:rsidR="008E4B08" w:rsidRDefault="00C51EF0">
      <w:pPr>
        <w:pStyle w:val="Heading2"/>
        <w:keepNext/>
        <w:spacing w:before="240" w:after="120" w:line="360" w:lineRule="auto"/>
      </w:pPr>
      <w:bookmarkStart w:id="57" w:name="_Toc241908418"/>
      <w:r>
        <w:t>4.4 Ways of Relating Archaeology and the Bible</w:t>
      </w:r>
      <w:bookmarkEnd w:id="57"/>
    </w:p>
    <w:p w:rsidR="008E4B08" w:rsidRDefault="00C51EF0">
      <w:pPr>
        <w:pStyle w:val="Heading3"/>
        <w:keepNext/>
        <w:spacing w:before="120" w:after="60" w:line="360" w:lineRule="auto"/>
      </w:pPr>
      <w:r>
        <w:t>4.4.1 The Proof Approach</w:t>
      </w:r>
    </w:p>
    <w:p w:rsidR="008E4B08" w:rsidRDefault="00C51EF0">
      <w:pPr>
        <w:spacing w:line="480" w:lineRule="auto"/>
        <w:jc w:val="both"/>
      </w:pPr>
      <w:r>
        <w:t xml:space="preserve">In this approach, archaeology is valued mainly for proving that the Bible is accurate. It was common in popular books in the mid-twentieth century, such as Werner Keller's bestseller </w:t>
      </w:r>
      <w:r>
        <w:rPr>
          <w:i/>
          <w:iCs/>
        </w:rPr>
        <w:t>The Bible as History</w:t>
      </w:r>
      <w:r>
        <w:t xml:space="preserve">, and it continues in some apologetic writing. Its strength is its confidence in Scripture and its recognition that many discoveries do confirm biblical details. Its weaknesses are serious. It tends to choose only </w:t>
      </w:r>
      <w:proofErr w:type="spellStart"/>
      <w:r>
        <w:t>favourable</w:t>
      </w:r>
      <w:proofErr w:type="spellEnd"/>
      <w:r>
        <w:t xml:space="preserve"> evidence, to exaggerate the importance of finds, to ignore difficult data and to tie faith to the changing results of excavation.</w:t>
      </w:r>
    </w:p>
    <w:p w:rsidR="008E4B08" w:rsidRDefault="00C51EF0">
      <w:pPr>
        <w:pStyle w:val="Heading3"/>
        <w:keepNext/>
        <w:spacing w:before="120" w:after="60" w:line="360" w:lineRule="auto"/>
      </w:pPr>
      <w:r>
        <w:t>4.4.2 The Separate Disciplines Approach</w:t>
      </w:r>
    </w:p>
    <w:p w:rsidR="008E4B08" w:rsidRDefault="00C51EF0">
      <w:pPr>
        <w:spacing w:line="480" w:lineRule="auto"/>
        <w:jc w:val="both"/>
      </w:pPr>
      <w:r>
        <w:t xml:space="preserve">In this approach, associated with </w:t>
      </w:r>
      <w:proofErr w:type="spellStart"/>
      <w:r>
        <w:t>Dever's</w:t>
      </w:r>
      <w:proofErr w:type="spellEnd"/>
      <w:r>
        <w:t xml:space="preserve"> early work, archaeology first interprets the ground on its own terms, as a secular science, and only afterwards talks with biblical studies. Its strength </w:t>
      </w:r>
      <w:r>
        <w:lastRenderedPageBreak/>
        <w:t>is its careful method and its refusal to let the Bible dictate how the ground is read. Its weakness is that, for periods with writing, archaeologists can rarely interpret finds without some written framework. Trying to exclude the Bible completely can become another kind of bias.</w:t>
      </w:r>
    </w:p>
    <w:p w:rsidR="008E4B08" w:rsidRDefault="00C51EF0">
      <w:pPr>
        <w:pStyle w:val="Heading3"/>
        <w:keepNext/>
        <w:spacing w:before="120" w:after="60" w:line="360" w:lineRule="auto"/>
      </w:pPr>
      <w:r>
        <w:t xml:space="preserve">4.4.3 The </w:t>
      </w:r>
      <w:proofErr w:type="spellStart"/>
      <w:r>
        <w:t>Sceptical</w:t>
      </w:r>
      <w:proofErr w:type="spellEnd"/>
      <w:r>
        <w:t xml:space="preserve"> Approach</w:t>
      </w:r>
    </w:p>
    <w:p w:rsidR="008E4B08" w:rsidRDefault="00C51EF0">
      <w:pPr>
        <w:spacing w:line="480" w:lineRule="auto"/>
        <w:jc w:val="both"/>
      </w:pPr>
      <w:r>
        <w:t xml:space="preserve">The </w:t>
      </w:r>
      <w:proofErr w:type="spellStart"/>
      <w:r>
        <w:t>sceptical</w:t>
      </w:r>
      <w:proofErr w:type="spellEnd"/>
      <w:r>
        <w:t xml:space="preserve"> or minimalist approach treats the Bible as a late composition of little historical value. It gives priority to archaeology and to non-biblical texts. Where the Bible is not confirmed, it is treated as unhistorical. This approach rightly insists on critical testing, but it often demands more proof from the Bible than from other ancient sources. It has also been embarrassed by discoveries, such as the Tel Dan inscription, that confirmed people and institutions it had doubted.</w:t>
      </w:r>
    </w:p>
    <w:p w:rsidR="008E4B08" w:rsidRDefault="00C51EF0">
      <w:pPr>
        <w:pStyle w:val="Heading3"/>
        <w:keepNext/>
        <w:spacing w:before="120" w:after="60" w:line="360" w:lineRule="auto"/>
      </w:pPr>
      <w:r>
        <w:t>4.4.4 The Dialogue Approach</w:t>
      </w:r>
    </w:p>
    <w:p w:rsidR="008E4B08" w:rsidRDefault="00C51EF0">
      <w:pPr>
        <w:spacing w:line="480" w:lineRule="auto"/>
        <w:jc w:val="both"/>
      </w:pPr>
      <w:r>
        <w:t xml:space="preserve">Most scholars today use some form of dialogue between two independent but related sources. The Bible and the ground are each studied carefully according to their own nature and then brought into conversation. Where they agree, historians can speak with more confidence. Where they disagree, the historian asks whether the archaeology has been read correctly, whether the text has been understood correctly, whether the dates are secure, or whether the two are simply describing different things. </w:t>
      </w:r>
      <w:proofErr w:type="spellStart"/>
      <w:r>
        <w:t>Amihai</w:t>
      </w:r>
      <w:proofErr w:type="spellEnd"/>
      <w:r>
        <w:t xml:space="preserve"> </w:t>
      </w:r>
      <w:proofErr w:type="spellStart"/>
      <w:r>
        <w:t>Mazar</w:t>
      </w:r>
      <w:proofErr w:type="spellEnd"/>
      <w:r>
        <w:t xml:space="preserve"> speaks of a "middle road" that recognises historical cores in the biblical traditions as well as later literary development.</w:t>
      </w:r>
      <w:r>
        <w:rPr>
          <w:vertAlign w:val="superscript"/>
        </w:rPr>
        <w:t>22</w:t>
      </w:r>
    </w:p>
    <w:p w:rsidR="008E4B08" w:rsidRDefault="00C51EF0">
      <w:pPr>
        <w:spacing w:line="480" w:lineRule="auto"/>
        <w:ind w:firstLine="720"/>
        <w:jc w:val="both"/>
      </w:pPr>
      <w:r>
        <w:t>This course recommends a dialogue approach that is realistic, critical and open to faith. It is realistic because it believes the past can be known, at least partly. It is critical because all evidence must be interpreted. It is open to faith because it does not rule out in advance the possibility that God acts in history, as the Bible says.</w:t>
      </w:r>
    </w:p>
    <w:p w:rsidR="008E4B08" w:rsidRDefault="00C51EF0">
      <w:pPr>
        <w:spacing w:line="480" w:lineRule="auto"/>
        <w:ind w:firstLine="720"/>
        <w:jc w:val="both"/>
      </w:pPr>
      <w:r>
        <w:rPr>
          <w:b/>
          <w:bCs/>
        </w:rPr>
        <w:t>Example.</w:t>
      </w:r>
      <w:r>
        <w:t xml:space="preserve"> When a doctor and a laboratory test disagree about a patient, a wise hospital does not simply throw away one of them. It asks whether the test was done correctly, whether the symptoms were properly understood and whether both might be partly right. In the same </w:t>
      </w:r>
      <w:r>
        <w:lastRenderedPageBreak/>
        <w:t>way, when the Bible and archaeology seem to disagree, we should investigate patiently rather than quickly reject either.</w:t>
      </w:r>
    </w:p>
    <w:p w:rsidR="008E4B08" w:rsidRDefault="00C51EF0">
      <w:pPr>
        <w:pStyle w:val="Heading2"/>
        <w:keepNext/>
        <w:spacing w:before="240" w:after="120" w:line="360" w:lineRule="auto"/>
      </w:pPr>
      <w:bookmarkStart w:id="58" w:name="_Toc241908419"/>
      <w:r>
        <w:t>4.5 Agreement, Disagreement and Silence</w:t>
      </w:r>
      <w:bookmarkEnd w:id="58"/>
    </w:p>
    <w:p w:rsidR="008E4B08" w:rsidRDefault="00C51EF0">
      <w:pPr>
        <w:spacing w:line="480" w:lineRule="auto"/>
        <w:jc w:val="both"/>
      </w:pPr>
      <w:r>
        <w:t>There are three kinds of relationship between the Bible and archaeology.</w:t>
      </w:r>
    </w:p>
    <w:p w:rsidR="008E4B08" w:rsidRDefault="00C51EF0">
      <w:pPr>
        <w:spacing w:line="480" w:lineRule="auto"/>
        <w:ind w:firstLine="720"/>
        <w:jc w:val="both"/>
      </w:pPr>
      <w:r>
        <w:rPr>
          <w:b/>
          <w:bCs/>
        </w:rPr>
        <w:t>Agreement (convergence).</w:t>
      </w:r>
      <w:r>
        <w:t xml:space="preserve"> The Bible and the ground independently mention the same person, place or event. Examples include the Assyrian record of King Jehu's tribute on the Black Obelisk, Sennacherib's account of his siege of Jerusalem, the seal impressions of officials named in Jeremiah, and the </w:t>
      </w:r>
      <w:proofErr w:type="spellStart"/>
      <w:r>
        <w:t>Gallio</w:t>
      </w:r>
      <w:proofErr w:type="spellEnd"/>
      <w:r>
        <w:t xml:space="preserve"> inscription from Delphi. Such agreements are very common from the time of the divided kingdom onwards and in the New Testament.</w:t>
      </w:r>
    </w:p>
    <w:p w:rsidR="008E4B08" w:rsidRDefault="00C51EF0">
      <w:pPr>
        <w:spacing w:line="480" w:lineRule="auto"/>
        <w:ind w:firstLine="720"/>
        <w:jc w:val="both"/>
      </w:pPr>
      <w:r>
        <w:rPr>
          <w:b/>
          <w:bCs/>
        </w:rPr>
        <w:t>Disagreement (divergence).</w:t>
      </w:r>
      <w:r>
        <w:t xml:space="preserve"> The Bible and the ground appear to conflict. The best-known example is Ai. Joshua 7–8 says Israel destroyed Ai, but at et-Tell, the site most often identified as Ai, there was no town from about 2400 BC until a small village in Iron Age I. Scholars respond in different ways: some question whether et-Tell is really Ai, some question the date of the conquest, and some read the story differently. Students should study such cases honestly rather than avoid them.</w:t>
      </w:r>
    </w:p>
    <w:p w:rsidR="008E4B08" w:rsidRDefault="00C51EF0">
      <w:pPr>
        <w:spacing w:line="480" w:lineRule="auto"/>
        <w:ind w:firstLine="720"/>
        <w:jc w:val="both"/>
      </w:pPr>
      <w:r>
        <w:rPr>
          <w:b/>
          <w:bCs/>
        </w:rPr>
        <w:t>Silence.</w:t>
      </w:r>
      <w:r>
        <w:t xml:space="preserve"> Many biblical events leave no trace in the ground, and many discoveries have no connection with any biblical event. Silence may be due to the incomplete nature of evidence, the nature of the event or the limits of excavation. Silence should never be treated as proof against the Bible, but it cannot be counted as confirmation either.</w:t>
      </w:r>
    </w:p>
    <w:p w:rsidR="008E4B08" w:rsidRDefault="00C51EF0">
      <w:pPr>
        <w:pStyle w:val="Heading2"/>
        <w:keepNext/>
        <w:spacing w:before="240" w:after="120" w:line="360" w:lineRule="auto"/>
      </w:pPr>
      <w:bookmarkStart w:id="59" w:name="_Toc241908420"/>
      <w:r>
        <w:t>4.6 Circular Reasoning</w:t>
      </w:r>
      <w:bookmarkEnd w:id="59"/>
    </w:p>
    <w:p w:rsidR="008E4B08" w:rsidRDefault="00C51EF0">
      <w:pPr>
        <w:spacing w:line="480" w:lineRule="auto"/>
        <w:jc w:val="both"/>
      </w:pPr>
      <w:r>
        <w:t xml:space="preserve">As Unit Three explained, a common danger is circular reasoning. If a layer is dated by a biblical event, it cannot then be used as independent proof of that event. For example, </w:t>
      </w:r>
      <w:proofErr w:type="spellStart"/>
      <w:r>
        <w:t>Yigael</w:t>
      </w:r>
      <w:proofErr w:type="spellEnd"/>
      <w:r>
        <w:t xml:space="preserve"> </w:t>
      </w:r>
      <w:proofErr w:type="spellStart"/>
      <w:r>
        <w:t>Yadin</w:t>
      </w:r>
      <w:proofErr w:type="spellEnd"/>
      <w:r>
        <w:t xml:space="preserve"> dated similar six-chambered city gates at </w:t>
      </w:r>
      <w:proofErr w:type="spellStart"/>
      <w:r>
        <w:t>Hazor</w:t>
      </w:r>
      <w:proofErr w:type="spellEnd"/>
      <w:r>
        <w:t xml:space="preserve">, Megiddo and Gezer to the time of Solomon because 1 Kings 9:15 says Solomon built these cities. Later, the same gates were cited as </w:t>
      </w:r>
      <w:r>
        <w:lastRenderedPageBreak/>
        <w:t>archaeological proof of Solomon's building work. Israel Finkelstein's low chronology challenged exactly this reasoning (Unit Eight). The answer is not to ignore the Bible, but to state clearly what every date rests on and to seek independent evidence such as radiocarbon dates and non-biblical records.</w:t>
      </w:r>
    </w:p>
    <w:p w:rsidR="008E4B08" w:rsidRDefault="00C51EF0">
      <w:pPr>
        <w:pStyle w:val="Heading2"/>
        <w:keepNext/>
        <w:spacing w:before="240" w:after="120" w:line="360" w:lineRule="auto"/>
      </w:pPr>
      <w:bookmarkStart w:id="60" w:name="_Toc241908421"/>
      <w:r>
        <w:t>4.7 Archaeology and Theology</w:t>
      </w:r>
      <w:bookmarkEnd w:id="60"/>
    </w:p>
    <w:p w:rsidR="008E4B08" w:rsidRDefault="00C51EF0">
      <w:pPr>
        <w:spacing w:line="480" w:lineRule="auto"/>
        <w:jc w:val="both"/>
      </w:pPr>
      <w:r>
        <w:t xml:space="preserve">Some scholars say the historical truth of biblical events does not matter for theology: only the meaning of the story matters. Others, including the Albright school, insisted that biblical faith depends on history because it confesses a God who acts in history. The New Testament supports this conviction in at least one key case. Paul says that if Christ has not been raised, our faith is worthless (1 </w:t>
      </w:r>
      <w:proofErr w:type="spellStart"/>
      <w:r>
        <w:t>Cor</w:t>
      </w:r>
      <w:proofErr w:type="spellEnd"/>
      <w:r>
        <w:t xml:space="preserve"> 15:14–17). At the same time, the importance of historicity differs from passage to passage, and the genre of each passage must be respected.</w:t>
      </w:r>
    </w:p>
    <w:p w:rsidR="008E4B08" w:rsidRDefault="00C51EF0">
      <w:pPr>
        <w:spacing w:line="480" w:lineRule="auto"/>
        <w:ind w:firstLine="720"/>
        <w:jc w:val="both"/>
      </w:pPr>
      <w:r>
        <w:t>Students should avoid two temptations. The first is to make theology depend on archaeology, so that every new discovery causes either fear or celebration. The second is to cut theology off from history, so that faith becomes a private feeling without public reasons. Christian scholarship can affirm the historical nature of God's revelation while admitting that our reconstructions of history are always incomplete.</w:t>
      </w:r>
    </w:p>
    <w:p w:rsidR="008E4B08" w:rsidRDefault="00C51EF0">
      <w:pPr>
        <w:pStyle w:val="Heading2"/>
        <w:keepNext/>
        <w:spacing w:before="240" w:after="120" w:line="360" w:lineRule="auto"/>
      </w:pPr>
      <w:bookmarkStart w:id="61" w:name="_Toc241908422"/>
      <w:r>
        <w:t>4.8 Principles for Responsible Use</w:t>
      </w:r>
      <w:bookmarkEnd w:id="61"/>
    </w:p>
    <w:p w:rsidR="008E4B08" w:rsidRDefault="00C51EF0">
      <w:pPr>
        <w:tabs>
          <w:tab w:val="left" w:pos="720"/>
        </w:tabs>
        <w:spacing w:line="480" w:lineRule="auto"/>
        <w:ind w:left="720" w:hanging="360"/>
        <w:jc w:val="both"/>
      </w:pPr>
      <w:r>
        <w:t>1.</w:t>
      </w:r>
      <w:r>
        <w:tab/>
        <w:t>Study each source according to its nature: the Bible as literature with its own genre and purpose, and the ground by archaeological method.</w:t>
      </w:r>
    </w:p>
    <w:p w:rsidR="008E4B08" w:rsidRDefault="00C51EF0">
      <w:pPr>
        <w:tabs>
          <w:tab w:val="left" w:pos="720"/>
        </w:tabs>
        <w:spacing w:line="480" w:lineRule="auto"/>
        <w:ind w:left="720" w:hanging="360"/>
        <w:jc w:val="both"/>
      </w:pPr>
      <w:r>
        <w:t>2.</w:t>
      </w:r>
      <w:r>
        <w:tab/>
        <w:t>Distinguish between the evidence, the interpretation of the evidence and the theory behind the interpretation.</w:t>
      </w:r>
    </w:p>
    <w:p w:rsidR="008E4B08" w:rsidRDefault="00C51EF0">
      <w:pPr>
        <w:tabs>
          <w:tab w:val="left" w:pos="720"/>
        </w:tabs>
        <w:spacing w:line="480" w:lineRule="auto"/>
        <w:ind w:left="720" w:hanging="360"/>
        <w:jc w:val="both"/>
      </w:pPr>
      <w:r>
        <w:t>3.</w:t>
      </w:r>
      <w:r>
        <w:tab/>
        <w:t>State the basis of every date and avoid circular reasoning.</w:t>
      </w:r>
    </w:p>
    <w:p w:rsidR="008E4B08" w:rsidRDefault="00C51EF0">
      <w:pPr>
        <w:tabs>
          <w:tab w:val="left" w:pos="720"/>
        </w:tabs>
        <w:spacing w:line="480" w:lineRule="auto"/>
        <w:ind w:left="720" w:hanging="360"/>
        <w:jc w:val="both"/>
      </w:pPr>
      <w:r>
        <w:t>4.</w:t>
      </w:r>
      <w:r>
        <w:tab/>
        <w:t>Do not treat silence as either proof or disproof.</w:t>
      </w:r>
    </w:p>
    <w:p w:rsidR="008E4B08" w:rsidRDefault="00C51EF0">
      <w:pPr>
        <w:tabs>
          <w:tab w:val="left" w:pos="720"/>
        </w:tabs>
        <w:spacing w:line="480" w:lineRule="auto"/>
        <w:ind w:left="720" w:hanging="360"/>
        <w:jc w:val="both"/>
      </w:pPr>
      <w:r>
        <w:t>5.</w:t>
      </w:r>
      <w:r>
        <w:tab/>
        <w:t>Present the strongest form of the views you disagree with.</w:t>
      </w:r>
    </w:p>
    <w:p w:rsidR="008E4B08" w:rsidRDefault="00C51EF0">
      <w:pPr>
        <w:tabs>
          <w:tab w:val="left" w:pos="720"/>
        </w:tabs>
        <w:spacing w:line="480" w:lineRule="auto"/>
        <w:ind w:left="720" w:hanging="360"/>
        <w:jc w:val="both"/>
      </w:pPr>
      <w:r>
        <w:lastRenderedPageBreak/>
        <w:t>6.</w:t>
      </w:r>
      <w:r>
        <w:tab/>
        <w:t>Give more weight to several independent pieces of evidence that agree than to one exciting find.</w:t>
      </w:r>
    </w:p>
    <w:p w:rsidR="008E4B08" w:rsidRDefault="00C51EF0">
      <w:pPr>
        <w:tabs>
          <w:tab w:val="left" w:pos="720"/>
        </w:tabs>
        <w:spacing w:line="480" w:lineRule="auto"/>
        <w:ind w:left="720" w:hanging="360"/>
        <w:jc w:val="both"/>
      </w:pPr>
      <w:r>
        <w:t>7.</w:t>
      </w:r>
      <w:r>
        <w:tab/>
        <w:t>Be careful with objects bought from dealers and with sensational media reports.</w:t>
      </w:r>
    </w:p>
    <w:p w:rsidR="008E4B08" w:rsidRDefault="00C51EF0">
      <w:pPr>
        <w:tabs>
          <w:tab w:val="left" w:pos="720"/>
        </w:tabs>
        <w:spacing w:line="480" w:lineRule="auto"/>
        <w:ind w:left="720" w:hanging="360"/>
        <w:jc w:val="both"/>
      </w:pPr>
      <w:r>
        <w:t>8.</w:t>
      </w:r>
      <w:r>
        <w:tab/>
        <w:t>Hold historical reconstructions with humility, while confessing the historical nature of the gospel.</w:t>
      </w:r>
    </w:p>
    <w:p w:rsidR="008E4B08" w:rsidRDefault="00C51EF0">
      <w:pPr>
        <w:pStyle w:val="Heading2"/>
        <w:keepNext/>
        <w:spacing w:before="240" w:after="120" w:line="360" w:lineRule="auto"/>
      </w:pPr>
      <w:bookmarkStart w:id="62" w:name="_Toc241908423"/>
      <w:r>
        <w:t>4.9 Summary</w:t>
      </w:r>
      <w:bookmarkEnd w:id="62"/>
    </w:p>
    <w:p w:rsidR="008E4B08" w:rsidRDefault="00C51EF0">
      <w:pPr>
        <w:spacing w:line="480" w:lineRule="auto"/>
        <w:jc w:val="both"/>
      </w:pPr>
      <w:r>
        <w:t>Relating archaeology to the Bible requires careful interpretation. The Bible offers theological history as testimony, which must be weighed with respect and care. Of the various approaches, the dialogue approach, which treats the Bible and the ground as independent witnesses, is the most satisfactory. Agreement, disagreement and silence must each be handled honestly, and circular reasoning must be avoided. Archaeology matters to theology because biblical faith is rooted in history, but faith must not be made dependent on the changing results of excavation.</w:t>
      </w:r>
    </w:p>
    <w:p w:rsidR="008E4B08" w:rsidRDefault="00C51EF0">
      <w:pPr>
        <w:pStyle w:val="Heading2"/>
        <w:keepNext/>
        <w:spacing w:before="240" w:after="120" w:line="360" w:lineRule="auto"/>
      </w:pPr>
      <w:bookmarkStart w:id="63" w:name="_Toc241908424"/>
      <w:r>
        <w:t>4.10 Life Application</w:t>
      </w:r>
      <w:bookmarkEnd w:id="63"/>
    </w:p>
    <w:p w:rsidR="008E4B08" w:rsidRDefault="00C51EF0">
      <w:pPr>
        <w:spacing w:line="480" w:lineRule="auto"/>
        <w:jc w:val="both"/>
      </w:pPr>
      <w:r>
        <w:t>How we relate the Bible to the evidence of the world reveals much about our character as interpreters. This unit calls for wisdom, balance and integrity.</w:t>
      </w:r>
    </w:p>
    <w:p w:rsidR="008E4B08" w:rsidRDefault="00C51EF0">
      <w:pPr>
        <w:pStyle w:val="ListParagraph"/>
        <w:numPr>
          <w:ilvl w:val="0"/>
          <w:numId w:val="2"/>
        </w:numPr>
        <w:spacing w:line="480" w:lineRule="auto"/>
        <w:jc w:val="both"/>
      </w:pPr>
      <w:r>
        <w:rPr>
          <w:b/>
          <w:bCs/>
        </w:rPr>
        <w:t>Receive Scripture as trustworthy testimony.</w:t>
      </w:r>
      <w:r>
        <w:t xml:space="preserve"> The Bible is God's Word given through human witnesses. We approach it with reverence and trust, while seeking to understand its genre and purpose.</w:t>
      </w:r>
    </w:p>
    <w:p w:rsidR="008E4B08" w:rsidRDefault="00C51EF0">
      <w:pPr>
        <w:pStyle w:val="ListParagraph"/>
        <w:numPr>
          <w:ilvl w:val="0"/>
          <w:numId w:val="2"/>
        </w:numPr>
        <w:spacing w:line="480" w:lineRule="auto"/>
        <w:jc w:val="both"/>
      </w:pPr>
      <w:r>
        <w:rPr>
          <w:b/>
          <w:bCs/>
        </w:rPr>
        <w:t>Face hard questions honestly.</w:t>
      </w:r>
      <w:r>
        <w:t xml:space="preserve"> Cases such as Ai should not be hidden from students or congregations. Faith that refuses to look at difficult evidence is fragile; faith that faces it with prayer and study grows strong.</w:t>
      </w:r>
    </w:p>
    <w:p w:rsidR="008E4B08" w:rsidRDefault="00C51EF0">
      <w:pPr>
        <w:pStyle w:val="ListParagraph"/>
        <w:numPr>
          <w:ilvl w:val="0"/>
          <w:numId w:val="2"/>
        </w:numPr>
        <w:spacing w:line="480" w:lineRule="auto"/>
        <w:jc w:val="both"/>
      </w:pPr>
      <w:r>
        <w:rPr>
          <w:b/>
          <w:bCs/>
        </w:rPr>
        <w:t>Do not make silence speak.</w:t>
      </w:r>
      <w:r>
        <w:t xml:space="preserve"> We must not treat the absence of evidence as proof against the Bible, nor treat our hopes as proof for it. In personal life also, we must not read God's silence as his absence.</w:t>
      </w:r>
    </w:p>
    <w:p w:rsidR="008E4B08" w:rsidRDefault="00C51EF0">
      <w:pPr>
        <w:pStyle w:val="ListParagraph"/>
        <w:numPr>
          <w:ilvl w:val="0"/>
          <w:numId w:val="2"/>
        </w:numPr>
        <w:spacing w:line="480" w:lineRule="auto"/>
        <w:jc w:val="both"/>
      </w:pPr>
      <w:r>
        <w:rPr>
          <w:b/>
          <w:bCs/>
        </w:rPr>
        <w:lastRenderedPageBreak/>
        <w:t>Hold history and faith together.</w:t>
      </w:r>
      <w:r>
        <w:t xml:space="preserve"> The resurrection of Christ is a historical claim at the heart of the gospel (1 </w:t>
      </w:r>
      <w:proofErr w:type="spellStart"/>
      <w:r>
        <w:t>Cor</w:t>
      </w:r>
      <w:proofErr w:type="spellEnd"/>
      <w:r>
        <w:t xml:space="preserve"> 15:14). The Christian must neither separate faith from history nor make faith a slave to every historical theory.</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Gracious God, thank you for giving your Word through human witnesses in human history. Grant me wisdom to read it rightly, courage to face difficult questions and patience to wait for understanding. Keep my faith anchored in the risen Christ, the firm foundation that cannot be shaken. In Jesus' name. Amen.</w:t>
      </w:r>
    </w:p>
    <w:p w:rsidR="008E4B08" w:rsidRDefault="00C51EF0">
      <w:pPr>
        <w:pStyle w:val="Heading2"/>
        <w:keepNext/>
        <w:spacing w:before="240" w:after="120" w:line="360" w:lineRule="auto"/>
      </w:pPr>
      <w:bookmarkStart w:id="64" w:name="_Toc241908425"/>
      <w:r>
        <w:t>4.11 Discussion Questions</w:t>
      </w:r>
      <w:bookmarkEnd w:id="64"/>
    </w:p>
    <w:p w:rsidR="008E4B08" w:rsidRDefault="00C51EF0">
      <w:pPr>
        <w:tabs>
          <w:tab w:val="left" w:pos="720"/>
        </w:tabs>
        <w:spacing w:line="480" w:lineRule="auto"/>
        <w:ind w:left="720" w:hanging="360"/>
        <w:jc w:val="both"/>
      </w:pPr>
      <w:r>
        <w:t>1.</w:t>
      </w:r>
      <w:r>
        <w:tab/>
        <w:t xml:space="preserve">Compare the proof approach and the </w:t>
      </w:r>
      <w:proofErr w:type="spellStart"/>
      <w:r>
        <w:t>sceptical</w:t>
      </w:r>
      <w:proofErr w:type="spellEnd"/>
      <w:r>
        <w:t xml:space="preserve"> approach to archaeology and the Bible. What assumptions do they share?</w:t>
      </w:r>
    </w:p>
    <w:p w:rsidR="008E4B08" w:rsidRDefault="00C51EF0">
      <w:pPr>
        <w:tabs>
          <w:tab w:val="left" w:pos="720"/>
        </w:tabs>
        <w:spacing w:line="480" w:lineRule="auto"/>
        <w:ind w:left="720" w:hanging="360"/>
        <w:jc w:val="both"/>
      </w:pPr>
      <w:r>
        <w:t>2.</w:t>
      </w:r>
      <w:r>
        <w:tab/>
        <w:t>How should a Christian scholar respond to cases of apparent disagreement between the Bible and archaeology, such as Ai?</w:t>
      </w:r>
    </w:p>
    <w:p w:rsidR="008E4B08" w:rsidRDefault="00C51EF0">
      <w:pPr>
        <w:tabs>
          <w:tab w:val="left" w:pos="720"/>
        </w:tabs>
        <w:spacing w:line="480" w:lineRule="auto"/>
        <w:ind w:left="720" w:hanging="360"/>
        <w:jc w:val="both"/>
      </w:pPr>
      <w:r>
        <w:t>3.</w:t>
      </w:r>
      <w:r>
        <w:tab/>
        <w:t>Explain the danger of circular reasoning with reference to the "</w:t>
      </w:r>
      <w:proofErr w:type="spellStart"/>
      <w:r>
        <w:t>Solomonic</w:t>
      </w:r>
      <w:proofErr w:type="spellEnd"/>
      <w:r>
        <w:t xml:space="preserve"> gates".</w:t>
      </w:r>
    </w:p>
    <w:p w:rsidR="008E4B08" w:rsidRDefault="00C51EF0">
      <w:pPr>
        <w:tabs>
          <w:tab w:val="left" w:pos="720"/>
        </w:tabs>
        <w:spacing w:line="480" w:lineRule="auto"/>
        <w:ind w:left="720" w:hanging="360"/>
        <w:jc w:val="both"/>
      </w:pPr>
      <w:r>
        <w:t>4.</w:t>
      </w:r>
      <w:r>
        <w:tab/>
        <w:t>Does the historical truth of biblical narratives matter for theology? Discuss with reference to at least two different kinds of biblical writing.</w:t>
      </w:r>
    </w:p>
    <w:p w:rsidR="008E4B08" w:rsidRDefault="00C51EF0">
      <w:pPr>
        <w:pStyle w:val="Heading2"/>
        <w:keepNext/>
        <w:spacing w:before="240" w:after="120" w:line="360" w:lineRule="auto"/>
      </w:pPr>
      <w:bookmarkStart w:id="65" w:name="_Toc241908426"/>
      <w:r>
        <w:t>4.12 Further Reading</w:t>
      </w:r>
      <w:bookmarkEnd w:id="65"/>
    </w:p>
    <w:p w:rsidR="008E4B08" w:rsidRDefault="00C51EF0">
      <w:pPr>
        <w:spacing w:after="160"/>
        <w:ind w:left="720" w:hanging="720"/>
      </w:pPr>
      <w:r>
        <w:t xml:space="preserve">Finkelstein, Israel, and </w:t>
      </w:r>
      <w:proofErr w:type="spellStart"/>
      <w:r>
        <w:t>Amihai</w:t>
      </w:r>
      <w:proofErr w:type="spellEnd"/>
      <w:r>
        <w:t xml:space="preserve"> </w:t>
      </w:r>
      <w:proofErr w:type="spellStart"/>
      <w:r>
        <w:t>Mazar</w:t>
      </w:r>
      <w:proofErr w:type="spellEnd"/>
      <w:r>
        <w:t xml:space="preserve">. </w:t>
      </w:r>
      <w:r>
        <w:rPr>
          <w:i/>
          <w:iCs/>
        </w:rPr>
        <w:t>The Quest for the Historical Israel</w:t>
      </w:r>
      <w:r>
        <w:t>. Edited by Brian B. Schmidt. Atlanta: Society of Biblical Literature, 2007.</w:t>
      </w:r>
    </w:p>
    <w:p w:rsidR="008E4B08" w:rsidRDefault="00C51EF0">
      <w:pPr>
        <w:spacing w:after="160"/>
        <w:ind w:left="720" w:hanging="720"/>
      </w:pPr>
      <w:r>
        <w:t xml:space="preserve">Long, V. Philips. </w:t>
      </w:r>
      <w:r>
        <w:rPr>
          <w:i/>
          <w:iCs/>
        </w:rPr>
        <w:t>The Art of Biblical History</w:t>
      </w:r>
      <w:r>
        <w:t>. Grand Rapids: Zondervan, 1994.</w:t>
      </w:r>
    </w:p>
    <w:p w:rsidR="008E4B08" w:rsidRDefault="00C51EF0">
      <w:pPr>
        <w:spacing w:after="160"/>
        <w:ind w:left="720" w:hanging="720"/>
      </w:pPr>
      <w:proofErr w:type="spellStart"/>
      <w:r>
        <w:t>Provan</w:t>
      </w:r>
      <w:proofErr w:type="spellEnd"/>
      <w:r>
        <w:t xml:space="preserve">, Iain, V. Philips Long, and </w:t>
      </w:r>
      <w:proofErr w:type="spellStart"/>
      <w:r>
        <w:t>Tremper</w:t>
      </w:r>
      <w:proofErr w:type="spellEnd"/>
      <w:r>
        <w:t xml:space="preserve"> Longman III. </w:t>
      </w:r>
      <w:r>
        <w:rPr>
          <w:i/>
          <w:iCs/>
        </w:rPr>
        <w:t>A Biblical History of Israel</w:t>
      </w:r>
      <w:r>
        <w:t>. 2nd ed. Louisville: Westminster John Knox, 2015.</w:t>
      </w:r>
    </w:p>
    <w:p w:rsidR="008E4B08" w:rsidRDefault="00C51EF0">
      <w:pPr>
        <w:pStyle w:val="Heading1"/>
        <w:pageBreakBefore/>
        <w:spacing w:after="360" w:line="360" w:lineRule="auto"/>
        <w:jc w:val="center"/>
      </w:pPr>
      <w:bookmarkStart w:id="66" w:name="_Toc241908427"/>
      <w:r>
        <w:lastRenderedPageBreak/>
        <w:t>UNIT FIVE: THE ANCIENT NEAR EASTERN WORLD AND THE BIBLE</w:t>
      </w:r>
      <w:bookmarkEnd w:id="66"/>
    </w:p>
    <w:p w:rsidR="008E4B08" w:rsidRDefault="00C51EF0">
      <w:pPr>
        <w:pStyle w:val="Heading2"/>
        <w:keepNext/>
        <w:spacing w:before="240" w:after="120" w:line="360" w:lineRule="auto"/>
      </w:pPr>
      <w:bookmarkStart w:id="67" w:name="_Toc241908428"/>
      <w:r>
        <w:t>5.1 Introduction</w:t>
      </w:r>
      <w:bookmarkEnd w:id="67"/>
    </w:p>
    <w:p w:rsidR="008E4B08" w:rsidRDefault="00C51EF0">
      <w:pPr>
        <w:spacing w:line="480" w:lineRule="auto"/>
        <w:jc w:val="both"/>
      </w:pPr>
      <w:r>
        <w:t xml:space="preserve">Israel did not live alone. It grew up in a region dominated by great </w:t>
      </w:r>
      <w:proofErr w:type="spellStart"/>
      <w:r>
        <w:t>civilisations</w:t>
      </w:r>
      <w:proofErr w:type="spellEnd"/>
      <w:r>
        <w:t>: Egypt to the south-west, Mesopotamia (modern Iraq) to the east, the Hittites in modern Turkey to the north, and the cities of Syria and Canaan all around. The writings, laws, religion and politics of these peoples form the background against which the Old Testament must be read. The rediscovery of this world through archaeology and the reading of ancient scripts is one of the great achievements of modern scholarship. This unit surveys the major texts of the ancient Near East and their importance for the study of the Bible.</w:t>
      </w:r>
    </w:p>
    <w:p w:rsidR="008E4B08" w:rsidRDefault="00C51EF0">
      <w:pPr>
        <w:pStyle w:val="Heading2"/>
        <w:keepNext/>
        <w:spacing w:before="240" w:after="120" w:line="360" w:lineRule="auto"/>
      </w:pPr>
      <w:bookmarkStart w:id="68" w:name="_Toc241908429"/>
      <w:r>
        <w:t>5.2 Learning Objectives</w:t>
      </w:r>
      <w:bookmarkEnd w:id="68"/>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describe how the main ancient scripts were deciphered;</w:t>
      </w:r>
    </w:p>
    <w:p w:rsidR="008E4B08" w:rsidRDefault="00C51EF0">
      <w:pPr>
        <w:pStyle w:val="ListParagraph"/>
        <w:numPr>
          <w:ilvl w:val="0"/>
          <w:numId w:val="2"/>
        </w:numPr>
        <w:spacing w:line="480" w:lineRule="auto"/>
        <w:jc w:val="both"/>
      </w:pPr>
      <w:r>
        <w:t>name the major archives and texts that are important for the Old Testament;</w:t>
      </w:r>
    </w:p>
    <w:p w:rsidR="008E4B08" w:rsidRDefault="00C51EF0">
      <w:pPr>
        <w:pStyle w:val="ListParagraph"/>
        <w:numPr>
          <w:ilvl w:val="0"/>
          <w:numId w:val="2"/>
        </w:numPr>
        <w:spacing w:line="480" w:lineRule="auto"/>
        <w:jc w:val="both"/>
      </w:pPr>
      <w:r>
        <w:t>compare selected biblical passages with similar ancient texts; and</w:t>
      </w:r>
    </w:p>
    <w:p w:rsidR="008E4B08" w:rsidRDefault="00C51EF0">
      <w:pPr>
        <w:pStyle w:val="ListParagraph"/>
        <w:numPr>
          <w:ilvl w:val="0"/>
          <w:numId w:val="2"/>
        </w:numPr>
        <w:spacing w:line="480" w:lineRule="auto"/>
        <w:jc w:val="both"/>
      </w:pPr>
      <w:proofErr w:type="gramStart"/>
      <w:r>
        <w:t>explain</w:t>
      </w:r>
      <w:proofErr w:type="gramEnd"/>
      <w:r>
        <w:t xml:space="preserve"> the rules for careful comparison.</w:t>
      </w:r>
    </w:p>
    <w:p w:rsidR="008E4B08" w:rsidRDefault="00C51EF0">
      <w:pPr>
        <w:pStyle w:val="Heading2"/>
        <w:keepNext/>
        <w:spacing w:before="240" w:after="120" w:line="360" w:lineRule="auto"/>
      </w:pPr>
      <w:bookmarkStart w:id="69" w:name="_Toc241908430"/>
      <w:r>
        <w:t>5.3 The Decipherment of Ancient Scripts</w:t>
      </w:r>
      <w:bookmarkEnd w:id="69"/>
    </w:p>
    <w:p w:rsidR="008E4B08" w:rsidRDefault="00C51EF0">
      <w:pPr>
        <w:spacing w:line="480" w:lineRule="auto"/>
        <w:jc w:val="both"/>
      </w:pPr>
      <w:r>
        <w:t>Comparing the Bible with the ancient Near East became possible only when ancient scripts could be read again.</w:t>
      </w:r>
    </w:p>
    <w:p w:rsidR="008E4B08" w:rsidRDefault="00C51EF0">
      <w:pPr>
        <w:pStyle w:val="ListParagraph"/>
        <w:numPr>
          <w:ilvl w:val="0"/>
          <w:numId w:val="2"/>
        </w:numPr>
        <w:spacing w:line="480" w:lineRule="auto"/>
        <w:jc w:val="both"/>
      </w:pPr>
      <w:r>
        <w:rPr>
          <w:b/>
          <w:bCs/>
        </w:rPr>
        <w:t>Egyptian hieroglyphs</w:t>
      </w:r>
      <w:r>
        <w:t xml:space="preserve"> were deciphered by Jean-François Champollion in 1822. He used the Rosetta </w:t>
      </w:r>
      <w:proofErr w:type="gramStart"/>
      <w:r>
        <w:t>Stone</w:t>
      </w:r>
      <w:proofErr w:type="gramEnd"/>
      <w:r>
        <w:t>, which carries the same decree in hieroglyphic, Demotic Egyptian and Greek. Because Greek was known, the Egyptian could be worked out.</w:t>
      </w:r>
    </w:p>
    <w:p w:rsidR="008E4B08" w:rsidRDefault="00C51EF0">
      <w:pPr>
        <w:pStyle w:val="ListParagraph"/>
        <w:numPr>
          <w:ilvl w:val="0"/>
          <w:numId w:val="2"/>
        </w:numPr>
        <w:spacing w:line="480" w:lineRule="auto"/>
        <w:jc w:val="both"/>
      </w:pPr>
      <w:r>
        <w:rPr>
          <w:b/>
          <w:bCs/>
        </w:rPr>
        <w:t>Cuneiform</w:t>
      </w:r>
      <w:r>
        <w:t xml:space="preserve">, the wedge-shaped writing of Mesopotamia, was deciphered in the middle of the nineteenth century through the work of Henry Rawlinson, Edward Hincks and </w:t>
      </w:r>
      <w:r>
        <w:lastRenderedPageBreak/>
        <w:t xml:space="preserve">others. Rawlinson's copying of the </w:t>
      </w:r>
      <w:proofErr w:type="spellStart"/>
      <w:r>
        <w:t>Behistun</w:t>
      </w:r>
      <w:proofErr w:type="spellEnd"/>
      <w:r>
        <w:t xml:space="preserve"> inscription of the Persian king Darius I, written in three languages, was crucial. Cuneiform was used for many languages, including Sumerian, Akkadian (Babylonian and Assyrian) and Hittite.</w:t>
      </w:r>
    </w:p>
    <w:p w:rsidR="008E4B08" w:rsidRDefault="00C51EF0">
      <w:pPr>
        <w:pStyle w:val="ListParagraph"/>
        <w:numPr>
          <w:ilvl w:val="0"/>
          <w:numId w:val="2"/>
        </w:numPr>
        <w:spacing w:line="480" w:lineRule="auto"/>
        <w:jc w:val="both"/>
      </w:pPr>
      <w:r>
        <w:rPr>
          <w:b/>
          <w:bCs/>
        </w:rPr>
        <w:t>Ugaritic</w:t>
      </w:r>
      <w:r>
        <w:t xml:space="preserve">, written in an alphabetic form of cuneiform, was deciphered within a year of the discovery of tablets at </w:t>
      </w:r>
      <w:proofErr w:type="spellStart"/>
      <w:r>
        <w:t>Ras</w:t>
      </w:r>
      <w:proofErr w:type="spellEnd"/>
      <w:r>
        <w:t xml:space="preserve"> </w:t>
      </w:r>
      <w:proofErr w:type="spellStart"/>
      <w:r>
        <w:t>Shamra</w:t>
      </w:r>
      <w:proofErr w:type="spellEnd"/>
      <w:r>
        <w:t xml:space="preserve"> in Syria in 1929.</w:t>
      </w:r>
    </w:p>
    <w:p w:rsidR="008E4B08" w:rsidRDefault="00C51EF0">
      <w:pPr>
        <w:pStyle w:val="ListParagraph"/>
        <w:numPr>
          <w:ilvl w:val="0"/>
          <w:numId w:val="2"/>
        </w:numPr>
        <w:spacing w:line="480" w:lineRule="auto"/>
        <w:jc w:val="both"/>
      </w:pPr>
      <w:r>
        <w:rPr>
          <w:b/>
          <w:bCs/>
        </w:rPr>
        <w:t>Hebrew, Phoenician, Aramaic and Moabite</w:t>
      </w:r>
      <w:r>
        <w:t xml:space="preserve"> inscriptions use closely related alphabets and could be read once the Phoenician alphabet was understood.</w:t>
      </w:r>
    </w:p>
    <w:p w:rsidR="008E4B08" w:rsidRDefault="00C51EF0">
      <w:pPr>
        <w:spacing w:line="480" w:lineRule="auto"/>
        <w:ind w:firstLine="720"/>
        <w:jc w:val="both"/>
      </w:pPr>
      <w:r>
        <w:rPr>
          <w:b/>
          <w:bCs/>
        </w:rPr>
        <w:t>Example.</w:t>
      </w:r>
      <w:r>
        <w:t xml:space="preserve"> The Rosetta </w:t>
      </w:r>
      <w:proofErr w:type="gramStart"/>
      <w:r>
        <w:t>Stone</w:t>
      </w:r>
      <w:proofErr w:type="gramEnd"/>
      <w:r>
        <w:t xml:space="preserve"> worked like a notice in a Nigerian public office written in English, Hausa and Yoruba. If someone who knew only English found such a notice, he could slowly work out the meaning of the Hausa and Yoruba words by comparing them with the English. Champollion did the same with Greek and Egyptian.</w:t>
      </w:r>
    </w:p>
    <w:p w:rsidR="008E4B08" w:rsidRDefault="00C51EF0">
      <w:pPr>
        <w:pStyle w:val="Heading2"/>
        <w:keepNext/>
        <w:spacing w:before="240" w:after="120" w:line="360" w:lineRule="auto"/>
      </w:pPr>
      <w:bookmarkStart w:id="70" w:name="_Toc241908431"/>
      <w:r>
        <w:t>5.4 Major Discoveries</w:t>
      </w:r>
      <w:bookmarkEnd w:id="70"/>
    </w:p>
    <w:p w:rsidR="008E4B08" w:rsidRDefault="00C51EF0">
      <w:pPr>
        <w:pStyle w:val="Heading3"/>
        <w:keepNext/>
        <w:spacing w:before="120" w:after="60" w:line="360" w:lineRule="auto"/>
      </w:pPr>
      <w:r>
        <w:t>5.4.1 Mesopotamian Stories of Creation and Flood</w:t>
      </w:r>
    </w:p>
    <w:p w:rsidR="008E4B08" w:rsidRDefault="00C51EF0">
      <w:pPr>
        <w:spacing w:line="480" w:lineRule="auto"/>
        <w:jc w:val="both"/>
      </w:pPr>
      <w:r>
        <w:t xml:space="preserve">The library of the Assyrian king Ashurbanipal at Nineveh, excavated in the 1850s, </w:t>
      </w:r>
      <w:proofErr w:type="gramStart"/>
      <w:r>
        <w:t>contained</w:t>
      </w:r>
      <w:proofErr w:type="gramEnd"/>
      <w:r>
        <w:t xml:space="preserve"> thousands of clay tablets, including the </w:t>
      </w:r>
      <w:r>
        <w:rPr>
          <w:i/>
          <w:iCs/>
        </w:rPr>
        <w:t>Epic of Gilgamesh</w:t>
      </w:r>
      <w:r>
        <w:t xml:space="preserve">. In 1872 George Smith found in it a flood story told by a man called </w:t>
      </w:r>
      <w:proofErr w:type="spellStart"/>
      <w:r>
        <w:t>Utnapishtim</w:t>
      </w:r>
      <w:proofErr w:type="spellEnd"/>
      <w:r>
        <w:t xml:space="preserve">. It is strikingly similar to Genesis 6–9. The gods decide to destroy humanity; one man is warned; he builds a great boat sealed with pitch; animals are saved; the boat rests on a mountain; birds are sent out; and a sacrifice is offered afterwards. The older </w:t>
      </w:r>
      <w:proofErr w:type="spellStart"/>
      <w:r>
        <w:rPr>
          <w:i/>
          <w:iCs/>
        </w:rPr>
        <w:t>Atrahasis</w:t>
      </w:r>
      <w:proofErr w:type="spellEnd"/>
      <w:r>
        <w:rPr>
          <w:i/>
          <w:iCs/>
        </w:rPr>
        <w:t xml:space="preserve"> Epic</w:t>
      </w:r>
      <w:r>
        <w:t xml:space="preserve"> places the flood within a story that runs from the creation of humans to the flood, the same order as Genesis 1–9.</w:t>
      </w:r>
    </w:p>
    <w:p w:rsidR="008E4B08" w:rsidRDefault="00C51EF0">
      <w:pPr>
        <w:spacing w:line="480" w:lineRule="auto"/>
        <w:ind w:firstLine="720"/>
        <w:jc w:val="both"/>
      </w:pPr>
      <w:r>
        <w:t xml:space="preserve">The Babylonian creation story </w:t>
      </w:r>
      <w:proofErr w:type="spellStart"/>
      <w:r>
        <w:rPr>
          <w:i/>
          <w:iCs/>
        </w:rPr>
        <w:t>Enuma</w:t>
      </w:r>
      <w:proofErr w:type="spellEnd"/>
      <w:r>
        <w:rPr>
          <w:i/>
          <w:iCs/>
        </w:rPr>
        <w:t xml:space="preserve"> </w:t>
      </w:r>
      <w:proofErr w:type="spellStart"/>
      <w:r>
        <w:rPr>
          <w:i/>
          <w:iCs/>
        </w:rPr>
        <w:t>Elish</w:t>
      </w:r>
      <w:proofErr w:type="spellEnd"/>
      <w:r>
        <w:t xml:space="preserve"> describes how the god </w:t>
      </w:r>
      <w:proofErr w:type="spellStart"/>
      <w:r>
        <w:t>Marduk</w:t>
      </w:r>
      <w:proofErr w:type="spellEnd"/>
      <w:r>
        <w:t xml:space="preserve"> defeated the sea-goddess Tiamat and made heaven and earth from her body. Earlier scholars thought Genesis 1 was copied from this myth. Most scholars now see a shared cultural vocabulary and, in Genesis, a deliberate theological contrast. In Genesis there is only one God, who creates by </w:t>
      </w:r>
      <w:r>
        <w:lastRenderedPageBreak/>
        <w:t>his word. The deep waters are not a rival goddess, and the sun and moon are simply "lights" placed in the sky, not gods.</w:t>
      </w:r>
      <w:r>
        <w:rPr>
          <w:vertAlign w:val="superscript"/>
        </w:rPr>
        <w:t>23</w:t>
      </w:r>
    </w:p>
    <w:p w:rsidR="008E4B08" w:rsidRDefault="00C51EF0">
      <w:pPr>
        <w:spacing w:line="480" w:lineRule="auto"/>
        <w:ind w:firstLine="720"/>
        <w:jc w:val="both"/>
      </w:pPr>
      <w:r>
        <w:rPr>
          <w:b/>
          <w:bCs/>
        </w:rPr>
        <w:t>Example.</w:t>
      </w:r>
      <w:r>
        <w:t xml:space="preserve"> Many African peoples have traditional stories about creation and about how God withdrew from the earth. When African Christians read Genesis, they often notice both similarities and important differences. Genesis uses language that ancient people understood, but it corrects false ideas about God. In the same way, Genesis speaks into the world of Babylonian myths while proclaiming the one true Creator.</w:t>
      </w:r>
    </w:p>
    <w:p w:rsidR="008E4B08" w:rsidRDefault="00C51EF0">
      <w:pPr>
        <w:pStyle w:val="Heading3"/>
        <w:keepNext/>
        <w:spacing w:before="120" w:after="60" w:line="360" w:lineRule="auto"/>
      </w:pPr>
      <w:r>
        <w:t>5.4.2 Law Codes</w:t>
      </w:r>
    </w:p>
    <w:p w:rsidR="008E4B08" w:rsidRDefault="00C51EF0">
      <w:pPr>
        <w:spacing w:line="480" w:lineRule="auto"/>
        <w:jc w:val="both"/>
      </w:pPr>
      <w:r>
        <w:t xml:space="preserve">The </w:t>
      </w:r>
      <w:r>
        <w:rPr>
          <w:i/>
          <w:iCs/>
        </w:rPr>
        <w:t>Laws of Hammurabi</w:t>
      </w:r>
      <w:r>
        <w:t>, king of Babylon in the eighteenth century BC, were found in 1901 at Susa in Iran, carved on a black stone pillar now in the Louvre Museum in Paris. They contain about 282 laws. Many are similar to laws in Exodus 21–23, for example laws about an ox that gores a person, injury to a pregnant woman, and the principle of "an eye for an eye". Other older law collections show that Israel's laws belonged to a wider legal tradition.</w:t>
      </w:r>
    </w:p>
    <w:p w:rsidR="008E4B08" w:rsidRDefault="00C51EF0">
      <w:pPr>
        <w:spacing w:line="480" w:lineRule="auto"/>
        <w:ind w:firstLine="720"/>
        <w:jc w:val="both"/>
      </w:pPr>
      <w:r>
        <w:t>Yet the differences are also important. Biblical law is presented as the covenant command of Israel's God, not as the decree of a human king. It protects slaves, foreigners, widows and orphans. It does not set different punishments for injuries according to social class, as Hammurabi's laws do.</w:t>
      </w:r>
    </w:p>
    <w:p w:rsidR="008E4B08" w:rsidRDefault="00C51EF0">
      <w:pPr>
        <w:spacing w:line="480" w:lineRule="auto"/>
        <w:ind w:firstLine="720"/>
        <w:jc w:val="both"/>
      </w:pPr>
      <w:r>
        <w:rPr>
          <w:b/>
          <w:bCs/>
        </w:rPr>
        <w:t>Example.</w:t>
      </w:r>
      <w:r>
        <w:t xml:space="preserve"> Under Hammurabi's laws, a person who blinded a nobleman lost his own eye, but if he blinded a commoner he only paid silver, and for a slave he paid even less. In the Bible, the principle "eye for eye" applies equally to all, and a master who blinded his slave had to set the slave free (</w:t>
      </w:r>
      <w:proofErr w:type="spellStart"/>
      <w:r>
        <w:t>Exod</w:t>
      </w:r>
      <w:proofErr w:type="spellEnd"/>
      <w:r>
        <w:t xml:space="preserve"> 21:26). Such details show the distinctive justice of God's law.</w:t>
      </w:r>
    </w:p>
    <w:p w:rsidR="008E4B08" w:rsidRDefault="00C51EF0">
      <w:pPr>
        <w:pStyle w:val="Heading3"/>
        <w:keepNext/>
        <w:spacing w:before="120" w:after="60" w:line="360" w:lineRule="auto"/>
      </w:pPr>
      <w:r>
        <w:t>5.4.3 Treaties and Covenants</w:t>
      </w:r>
    </w:p>
    <w:p w:rsidR="008E4B08" w:rsidRDefault="00C51EF0">
      <w:pPr>
        <w:spacing w:line="480" w:lineRule="auto"/>
        <w:jc w:val="both"/>
      </w:pPr>
      <w:r>
        <w:t xml:space="preserve">Hittite treaties of the fourteenth and thirteenth centuries BC follow a typical pattern: an introduction of the great king, a history of his kindness to the lesser king, the conditions of the treaty, instructions for keeping and reading the document, a list of divine witnesses, and </w:t>
      </w:r>
      <w:r>
        <w:lastRenderedPageBreak/>
        <w:t>blessings and curses. George Mendenhall and later Kenneth Kitchen argued that the covenant in Exodus 20–24 and Deuteronomy closely follows this pattern, which supports an early date for the covenant tradition.</w:t>
      </w:r>
      <w:r>
        <w:rPr>
          <w:vertAlign w:val="superscript"/>
        </w:rPr>
        <w:t>24</w:t>
      </w:r>
      <w:r>
        <w:t xml:space="preserve"> Other scholars compare Deuteronomy with Assyrian treaties of the seventh century BC, especially in the curses, and argue for a later date. The debate shows how the same comparative evidence can be used to support different conclusions.</w:t>
      </w:r>
    </w:p>
    <w:p w:rsidR="008E4B08" w:rsidRDefault="00C51EF0">
      <w:pPr>
        <w:pStyle w:val="Heading3"/>
        <w:keepNext/>
        <w:spacing w:before="120" w:after="60" w:line="360" w:lineRule="auto"/>
      </w:pPr>
      <w:r>
        <w:t>5.4.4 Mari</w:t>
      </w:r>
    </w:p>
    <w:p w:rsidR="008E4B08" w:rsidRDefault="00C51EF0">
      <w:pPr>
        <w:spacing w:line="480" w:lineRule="auto"/>
        <w:jc w:val="both"/>
      </w:pPr>
      <w:r>
        <w:t>Excavations at Mari on the Euphrates River from 1933 uncovered a great palace and about 20,000 tablets from the eighteenth century BC. These texts show how tribal and pastoral peoples lived, and they contain letters reporting messages from the gods given through prophets to the king. They are among the closest ancient parallels to biblical prophecy.</w:t>
      </w:r>
      <w:r>
        <w:rPr>
          <w:vertAlign w:val="superscript"/>
        </w:rPr>
        <w:t>25</w:t>
      </w:r>
    </w:p>
    <w:p w:rsidR="008E4B08" w:rsidRDefault="00C51EF0">
      <w:pPr>
        <w:pStyle w:val="Heading3"/>
        <w:keepNext/>
        <w:spacing w:before="120" w:after="60" w:line="360" w:lineRule="auto"/>
      </w:pPr>
      <w:r>
        <w:t xml:space="preserve">5.4.5 </w:t>
      </w:r>
      <w:proofErr w:type="spellStart"/>
      <w:r>
        <w:t>Nuzi</w:t>
      </w:r>
      <w:proofErr w:type="spellEnd"/>
    </w:p>
    <w:p w:rsidR="008E4B08" w:rsidRDefault="00C51EF0">
      <w:pPr>
        <w:spacing w:line="480" w:lineRule="auto"/>
        <w:jc w:val="both"/>
      </w:pPr>
      <w:r>
        <w:t xml:space="preserve">The </w:t>
      </w:r>
      <w:proofErr w:type="spellStart"/>
      <w:r>
        <w:t>Nuzi</w:t>
      </w:r>
      <w:proofErr w:type="spellEnd"/>
      <w:r>
        <w:t xml:space="preserve"> tablets from northern Iraq (fifteenth century BC) were once thought to explain customs of the patriarchs, such as adoption, the use of a slave woman to bear children for a childless wife, and household gods. Unit Six examines how these comparisons have been reassessed.</w:t>
      </w:r>
    </w:p>
    <w:p w:rsidR="008E4B08" w:rsidRDefault="00C51EF0">
      <w:pPr>
        <w:pStyle w:val="Heading3"/>
        <w:keepNext/>
        <w:spacing w:before="120" w:after="60" w:line="360" w:lineRule="auto"/>
      </w:pPr>
      <w:r>
        <w:t>5.4.6 Ebla</w:t>
      </w:r>
    </w:p>
    <w:p w:rsidR="008E4B08" w:rsidRDefault="00C51EF0">
      <w:pPr>
        <w:spacing w:line="480" w:lineRule="auto"/>
        <w:jc w:val="both"/>
      </w:pPr>
      <w:r>
        <w:t>In 1974–1975 an archive of about 17,000 tablets from the third millennium BC was found at Ebla in Syria. There was great excitement because some early reports claimed that the tablets mentioned biblical names and the cities of Sodom and Gomorrah. These claims were later withdrawn or strongly disputed.</w:t>
      </w:r>
      <w:r>
        <w:rPr>
          <w:vertAlign w:val="superscript"/>
        </w:rPr>
        <w:t>26</w:t>
      </w:r>
      <w:r>
        <w:t xml:space="preserve"> Ebla is very important for the history of Syria, but it is also a warning against announcing sensational claims too quickly.</w:t>
      </w:r>
    </w:p>
    <w:p w:rsidR="008E4B08" w:rsidRDefault="00C51EF0">
      <w:pPr>
        <w:pStyle w:val="Heading3"/>
        <w:keepNext/>
        <w:spacing w:before="120" w:after="60" w:line="360" w:lineRule="auto"/>
      </w:pPr>
      <w:r>
        <w:t>5.4.7 Ugarit</w:t>
      </w:r>
    </w:p>
    <w:p w:rsidR="008E4B08" w:rsidRDefault="00C51EF0">
      <w:pPr>
        <w:spacing w:line="480" w:lineRule="auto"/>
        <w:jc w:val="both"/>
      </w:pPr>
      <w:r>
        <w:t xml:space="preserve">The tablets from Ugarit on the Syrian coast (fourteenth and thirteenth centuries BC) are the most important direct evidence for Canaanite religion. They contain myths about the gods El, Baal, </w:t>
      </w:r>
      <w:proofErr w:type="spellStart"/>
      <w:r>
        <w:t>Anat</w:t>
      </w:r>
      <w:proofErr w:type="spellEnd"/>
      <w:r>
        <w:t xml:space="preserve">, </w:t>
      </w:r>
      <w:proofErr w:type="spellStart"/>
      <w:r>
        <w:t>Asherah</w:t>
      </w:r>
      <w:proofErr w:type="spellEnd"/>
      <w:r>
        <w:t xml:space="preserve"> and Mot. Baal is called the "rider on the clouds", a title that Psalm 68:4 </w:t>
      </w:r>
      <w:r>
        <w:lastRenderedPageBreak/>
        <w:t>gives to the Lord. Baal's battles with Yam (Sea) and Mot (Death) help us understand biblical pictures of God's victory over the sea and over death (Ps 74:13–14; Isa 25:8; 27:1). Ugaritic poetry also uses the same kind of parallel lines as Hebrew poetry.</w:t>
      </w:r>
      <w:r>
        <w:rPr>
          <w:vertAlign w:val="superscript"/>
        </w:rPr>
        <w:t>27</w:t>
      </w:r>
    </w:p>
    <w:p w:rsidR="008E4B08" w:rsidRDefault="00C51EF0">
      <w:pPr>
        <w:spacing w:line="480" w:lineRule="auto"/>
        <w:ind w:firstLine="720"/>
        <w:jc w:val="both"/>
      </w:pPr>
      <w:r>
        <w:rPr>
          <w:b/>
          <w:bCs/>
        </w:rPr>
        <w:t>Example.</w:t>
      </w:r>
      <w:r>
        <w:t xml:space="preserve"> When Elijah challenged the prophets of Baal on Mount Carmel (1 Kgs 18), the contest was about who sends fire and rain. The Ugaritic texts show that Baal was believed to be the god of storm and rain. Elijah's victory therefore struck at the very heart of Baal's supposed power, just as Christ's victory today defeats every power that people fear.</w:t>
      </w:r>
    </w:p>
    <w:p w:rsidR="008E4B08" w:rsidRDefault="00C51EF0">
      <w:pPr>
        <w:pStyle w:val="Heading3"/>
        <w:keepNext/>
        <w:spacing w:before="120" w:after="60" w:line="360" w:lineRule="auto"/>
      </w:pPr>
      <w:r>
        <w:t>5.4.8 The Amarna Letters</w:t>
      </w:r>
    </w:p>
    <w:p w:rsidR="008E4B08" w:rsidRDefault="00C51EF0">
      <w:pPr>
        <w:spacing w:line="480" w:lineRule="auto"/>
        <w:jc w:val="both"/>
      </w:pPr>
      <w:r>
        <w:t xml:space="preserve">The Amarna letters, found in Egypt in 1887, are diplomatic letters sent to the pharaohs in the fourteenth century BC. Many come from rulers of Canaanite cities, including Jerusalem, </w:t>
      </w:r>
      <w:proofErr w:type="spellStart"/>
      <w:r>
        <w:t>Shechem</w:t>
      </w:r>
      <w:proofErr w:type="spellEnd"/>
      <w:r>
        <w:t xml:space="preserve">, Megiddo and Gezer. They show a land of rival city-states under Egyptian control, troubled by groups called the </w:t>
      </w:r>
      <w:proofErr w:type="spellStart"/>
      <w:r>
        <w:rPr>
          <w:i/>
          <w:iCs/>
        </w:rPr>
        <w:t>ʿApiru</w:t>
      </w:r>
      <w:proofErr w:type="spellEnd"/>
      <w:r>
        <w:t xml:space="preserve">. Scholars have long asked whether the </w:t>
      </w:r>
      <w:proofErr w:type="spellStart"/>
      <w:r>
        <w:t>ʿApiru</w:t>
      </w:r>
      <w:proofErr w:type="spellEnd"/>
      <w:r>
        <w:t xml:space="preserve"> were the Hebrews. Most now think the word described people on the margins of society rather than a particular nation, though the early Hebrews may have been seen as such people.</w:t>
      </w:r>
      <w:r>
        <w:rPr>
          <w:vertAlign w:val="superscript"/>
        </w:rPr>
        <w:t>28</w:t>
      </w:r>
    </w:p>
    <w:p w:rsidR="008E4B08" w:rsidRDefault="00C51EF0">
      <w:pPr>
        <w:pStyle w:val="Heading3"/>
        <w:keepNext/>
        <w:spacing w:before="120" w:after="60" w:line="360" w:lineRule="auto"/>
      </w:pPr>
      <w:r>
        <w:t>5.4.9 Egyptian Writings</w:t>
      </w:r>
    </w:p>
    <w:p w:rsidR="008E4B08" w:rsidRDefault="00C51EF0">
      <w:pPr>
        <w:spacing w:line="480" w:lineRule="auto"/>
        <w:jc w:val="both"/>
      </w:pPr>
      <w:r>
        <w:t xml:space="preserve">Egyptian wisdom literature is close to the wisdom books of the Old Testament. The </w:t>
      </w:r>
      <w:r>
        <w:rPr>
          <w:i/>
          <w:iCs/>
        </w:rPr>
        <w:t xml:space="preserve">Instruction of </w:t>
      </w:r>
      <w:proofErr w:type="spellStart"/>
      <w:r>
        <w:rPr>
          <w:i/>
          <w:iCs/>
        </w:rPr>
        <w:t>Amenemope</w:t>
      </w:r>
      <w:proofErr w:type="spellEnd"/>
      <w:r>
        <w:t xml:space="preserve"> is so similar to Proverbs 22:17–24:22 that most scholars accept some literary connection. Egyptian love poems resemble the Song of Songs, and the Hymn to the Aten has been compared with Psalm 104. Egyptian texts also shed light on the Joseph story and the exodus (Units Six and Seven).</w:t>
      </w:r>
    </w:p>
    <w:p w:rsidR="008E4B08" w:rsidRDefault="00C51EF0">
      <w:pPr>
        <w:pStyle w:val="Heading2"/>
        <w:keepNext/>
        <w:spacing w:before="240" w:after="120" w:line="360" w:lineRule="auto"/>
      </w:pPr>
      <w:bookmarkStart w:id="71" w:name="_Toc241908432"/>
      <w:r>
        <w:t>5.5 Collections of Texts for Students</w:t>
      </w:r>
      <w:bookmarkEnd w:id="71"/>
    </w:p>
    <w:p w:rsidR="008E4B08" w:rsidRDefault="00C51EF0">
      <w:pPr>
        <w:spacing w:line="480" w:lineRule="auto"/>
        <w:jc w:val="both"/>
      </w:pPr>
      <w:r>
        <w:t xml:space="preserve">Students should become familiar with the main collections of ancient Near Eastern texts in English translation. The classic collection is James B. Pritchard's </w:t>
      </w:r>
      <w:r>
        <w:rPr>
          <w:i/>
          <w:iCs/>
        </w:rPr>
        <w:t>Ancient Near Eastern Texts Relating to the Old Testament</w:t>
      </w:r>
      <w:r>
        <w:t xml:space="preserve">, often called </w:t>
      </w:r>
      <w:r>
        <w:rPr>
          <w:i/>
          <w:iCs/>
        </w:rPr>
        <w:t>ANET</w:t>
      </w:r>
      <w:r>
        <w:t>.</w:t>
      </w:r>
      <w:r>
        <w:rPr>
          <w:vertAlign w:val="superscript"/>
        </w:rPr>
        <w:t>29</w:t>
      </w:r>
      <w:r>
        <w:t xml:space="preserve"> </w:t>
      </w:r>
      <w:proofErr w:type="gramStart"/>
      <w:r>
        <w:t>A</w:t>
      </w:r>
      <w:proofErr w:type="gramEnd"/>
      <w:r>
        <w:t xml:space="preserve"> more recent collection is </w:t>
      </w:r>
      <w:r>
        <w:rPr>
          <w:i/>
          <w:iCs/>
        </w:rPr>
        <w:t>The Context of Scripture</w:t>
      </w:r>
      <w:r>
        <w:t>, edited by William W. Hallo and K. Lawson Younger Jr.</w:t>
      </w:r>
      <w:r>
        <w:rPr>
          <w:vertAlign w:val="superscript"/>
        </w:rPr>
        <w:t>30</w:t>
      </w:r>
    </w:p>
    <w:p w:rsidR="008E4B08" w:rsidRDefault="00C51EF0">
      <w:pPr>
        <w:pStyle w:val="Heading2"/>
        <w:keepNext/>
        <w:spacing w:before="240" w:after="120" w:line="360" w:lineRule="auto"/>
      </w:pPr>
      <w:bookmarkStart w:id="72" w:name="_Toc241908433"/>
      <w:r>
        <w:lastRenderedPageBreak/>
        <w:t>5.6 Rules for Careful Comparison</w:t>
      </w:r>
      <w:bookmarkEnd w:id="72"/>
    </w:p>
    <w:p w:rsidR="008E4B08" w:rsidRDefault="00C51EF0">
      <w:pPr>
        <w:pStyle w:val="ListParagraph"/>
        <w:numPr>
          <w:ilvl w:val="0"/>
          <w:numId w:val="2"/>
        </w:numPr>
        <w:spacing w:line="480" w:lineRule="auto"/>
        <w:jc w:val="both"/>
      </w:pPr>
      <w:r>
        <w:rPr>
          <w:b/>
          <w:bCs/>
        </w:rPr>
        <w:t>Avoid "</w:t>
      </w:r>
      <w:proofErr w:type="spellStart"/>
      <w:r>
        <w:rPr>
          <w:b/>
          <w:bCs/>
        </w:rPr>
        <w:t>parallelomania</w:t>
      </w:r>
      <w:proofErr w:type="spellEnd"/>
      <w:r>
        <w:rPr>
          <w:b/>
          <w:bCs/>
        </w:rPr>
        <w:t>".</w:t>
      </w:r>
      <w:r>
        <w:t xml:space="preserve"> Samuel </w:t>
      </w:r>
      <w:proofErr w:type="spellStart"/>
      <w:r>
        <w:t>Sandmel</w:t>
      </w:r>
      <w:proofErr w:type="spellEnd"/>
      <w:r>
        <w:t xml:space="preserve"> warned against exaggerating small similarities and too quickly assuming that one text copied another.</w:t>
      </w:r>
      <w:r>
        <w:rPr>
          <w:vertAlign w:val="superscript"/>
        </w:rPr>
        <w:t>31</w:t>
      </w:r>
    </w:p>
    <w:p w:rsidR="008E4B08" w:rsidRDefault="00C51EF0">
      <w:pPr>
        <w:pStyle w:val="ListParagraph"/>
        <w:numPr>
          <w:ilvl w:val="0"/>
          <w:numId w:val="2"/>
        </w:numPr>
        <w:spacing w:line="480" w:lineRule="auto"/>
        <w:jc w:val="both"/>
      </w:pPr>
      <w:r>
        <w:rPr>
          <w:b/>
          <w:bCs/>
        </w:rPr>
        <w:t>Look at differences as well as similarities.</w:t>
      </w:r>
      <w:r>
        <w:t xml:space="preserve"> William Hallo proposed a "contextual approach" that includes both comparison and contrast.</w:t>
      </w:r>
      <w:r>
        <w:rPr>
          <w:vertAlign w:val="superscript"/>
        </w:rPr>
        <w:t>32</w:t>
      </w:r>
      <w:r>
        <w:t xml:space="preserve"> Israel's distinctive faith often appears exactly where it uses a common form.</w:t>
      </w:r>
    </w:p>
    <w:p w:rsidR="008E4B08" w:rsidRDefault="00C51EF0">
      <w:pPr>
        <w:pStyle w:val="ListParagraph"/>
        <w:numPr>
          <w:ilvl w:val="0"/>
          <w:numId w:val="2"/>
        </w:numPr>
        <w:spacing w:line="480" w:lineRule="auto"/>
        <w:jc w:val="both"/>
      </w:pPr>
      <w:r>
        <w:rPr>
          <w:b/>
          <w:bCs/>
        </w:rPr>
        <w:t>Ask how the similarity arose.</w:t>
      </w:r>
      <w:r>
        <w:t xml:space="preserve"> It may come from direct borrowing, from a shared culture, from common human experience or from independent development.</w:t>
      </w:r>
    </w:p>
    <w:p w:rsidR="008E4B08" w:rsidRDefault="00C51EF0">
      <w:pPr>
        <w:pStyle w:val="ListParagraph"/>
        <w:numPr>
          <w:ilvl w:val="0"/>
          <w:numId w:val="2"/>
        </w:numPr>
        <w:spacing w:line="480" w:lineRule="auto"/>
        <w:jc w:val="both"/>
      </w:pPr>
      <w:r>
        <w:rPr>
          <w:b/>
          <w:bCs/>
        </w:rPr>
        <w:t>Distinguish shared worldview from copying.</w:t>
      </w:r>
      <w:r>
        <w:t xml:space="preserve"> John Walton stresses that ancient texts help us understand the "cognitive environment" of the biblical writers, the ideas about the world, gods and society that they shared with their </w:t>
      </w:r>
      <w:proofErr w:type="spellStart"/>
      <w:r>
        <w:t>neighbours</w:t>
      </w:r>
      <w:proofErr w:type="spellEnd"/>
      <w:r>
        <w:t>, even where no copying took place.</w:t>
      </w:r>
    </w:p>
    <w:p w:rsidR="008E4B08" w:rsidRDefault="00C51EF0">
      <w:pPr>
        <w:spacing w:line="480" w:lineRule="auto"/>
        <w:ind w:firstLine="720"/>
        <w:jc w:val="both"/>
      </w:pPr>
      <w:r>
        <w:rPr>
          <w:b/>
          <w:bCs/>
        </w:rPr>
        <w:t>Example.</w:t>
      </w:r>
      <w:r>
        <w:t xml:space="preserve"> Two Nigerian pastors may preach on the same text, use similar illustrations and end with similar altar calls. This does not prove that one copied the other. Both may have read the same books, attended the same seminary or simply drawn on common Nigerian experience. Ancient texts must be compared with the same care.</w:t>
      </w:r>
    </w:p>
    <w:p w:rsidR="008E4B08" w:rsidRDefault="00C51EF0">
      <w:pPr>
        <w:pStyle w:val="Heading2"/>
        <w:keepNext/>
        <w:spacing w:before="240" w:after="120" w:line="360" w:lineRule="auto"/>
      </w:pPr>
      <w:bookmarkStart w:id="73" w:name="_Toc241908434"/>
      <w:r>
        <w:t>5.7 Theological Significance</w:t>
      </w:r>
      <w:bookmarkEnd w:id="73"/>
    </w:p>
    <w:p w:rsidR="008E4B08" w:rsidRDefault="00C51EF0">
      <w:pPr>
        <w:spacing w:line="480" w:lineRule="auto"/>
        <w:jc w:val="both"/>
      </w:pPr>
      <w:r>
        <w:t>Some students worry that similar ancient texts make the Bible just one religious book among many. In fact, they show that God revealed himself within human culture, using the languages, writing styles and customs of a particular time and place. Inspiration does not mean that the biblical writers were cut off from their world. The incarnation of Christ, the Word made flesh, provides a model: God's Word comes truly into human history. At the same time, comparison shows the distinctive features of Israel's faith: one God, the covenant relationship, the moral character of God, the ban on images and the prophetic challenge to the powerful.</w:t>
      </w:r>
    </w:p>
    <w:p w:rsidR="008E4B08" w:rsidRDefault="00C51EF0">
      <w:pPr>
        <w:pStyle w:val="Heading2"/>
        <w:keepNext/>
        <w:spacing w:before="240" w:after="120" w:line="360" w:lineRule="auto"/>
      </w:pPr>
      <w:bookmarkStart w:id="74" w:name="_Toc241908435"/>
      <w:r>
        <w:lastRenderedPageBreak/>
        <w:t>5.8 Summary</w:t>
      </w:r>
      <w:bookmarkEnd w:id="74"/>
    </w:p>
    <w:p w:rsidR="008E4B08" w:rsidRDefault="00C51EF0">
      <w:pPr>
        <w:spacing w:line="480" w:lineRule="auto"/>
        <w:jc w:val="both"/>
      </w:pPr>
      <w:r>
        <w:t xml:space="preserve">The decipherment of hieroglyphs and cuneiform opened the writings of the ancient Near East to modern study. Major discoveries, including the Mesopotamian creation and flood stories, the law codes, Hittite treaties and the archives of Mari, </w:t>
      </w:r>
      <w:proofErr w:type="spellStart"/>
      <w:r>
        <w:t>Nuzi</w:t>
      </w:r>
      <w:proofErr w:type="spellEnd"/>
      <w:r>
        <w:t>, Ebla, Ugarit and Amarna, shed light on the Old Testament in many ways. Comparison must avoid exaggeration, attend to differences as well as similarities and distinguish shared culture from copying. Used carefully, it deepens our appreciation of both the cultural setting and the theological distinctiveness of the Old Testament.</w:t>
      </w:r>
    </w:p>
    <w:p w:rsidR="008E4B08" w:rsidRDefault="00C51EF0">
      <w:pPr>
        <w:pStyle w:val="Heading2"/>
        <w:keepNext/>
        <w:spacing w:before="240" w:after="120" w:line="360" w:lineRule="auto"/>
      </w:pPr>
      <w:bookmarkStart w:id="75" w:name="_Toc241908436"/>
      <w:r>
        <w:t>5.9 Life Application</w:t>
      </w:r>
      <w:bookmarkEnd w:id="75"/>
    </w:p>
    <w:p w:rsidR="008E4B08" w:rsidRDefault="00C51EF0">
      <w:pPr>
        <w:spacing w:line="480" w:lineRule="auto"/>
        <w:jc w:val="both"/>
      </w:pPr>
      <w:r>
        <w:t xml:space="preserve">The writings of Israel's </w:t>
      </w:r>
      <w:proofErr w:type="spellStart"/>
      <w:r>
        <w:t>neighbours</w:t>
      </w:r>
      <w:proofErr w:type="spellEnd"/>
      <w:r>
        <w:t xml:space="preserve"> show both how much the Bible shares with its world and how sharply it differs. This has important lessons for the African church, which also lives among many religious traditions.</w:t>
      </w:r>
    </w:p>
    <w:p w:rsidR="008E4B08" w:rsidRDefault="00C51EF0">
      <w:pPr>
        <w:pStyle w:val="ListParagraph"/>
        <w:numPr>
          <w:ilvl w:val="0"/>
          <w:numId w:val="2"/>
        </w:numPr>
        <w:spacing w:line="480" w:lineRule="auto"/>
        <w:jc w:val="both"/>
      </w:pPr>
      <w:r>
        <w:rPr>
          <w:b/>
          <w:bCs/>
        </w:rPr>
        <w:t>God speaks into culture.</w:t>
      </w:r>
      <w:r>
        <w:t xml:space="preserve"> The Lord revealed himself through the languages and customs of the ancient world. In the same way, the gospel can be expressed in African languages and cultural forms without losing its truth.</w:t>
      </w:r>
    </w:p>
    <w:p w:rsidR="008E4B08" w:rsidRDefault="00C51EF0">
      <w:pPr>
        <w:pStyle w:val="ListParagraph"/>
        <w:numPr>
          <w:ilvl w:val="0"/>
          <w:numId w:val="2"/>
        </w:numPr>
        <w:spacing w:line="480" w:lineRule="auto"/>
        <w:jc w:val="both"/>
      </w:pPr>
      <w:r>
        <w:rPr>
          <w:b/>
          <w:bCs/>
        </w:rPr>
        <w:t>Discern what is distinctive.</w:t>
      </w:r>
      <w:r>
        <w:t xml:space="preserve"> Israel used familiar forms but filled them with new meaning: one God, a covenant of grace and a law that protects the weak. African Christians must likewise discern what in their culture can be embraced and what must be changed or rejected.</w:t>
      </w:r>
    </w:p>
    <w:p w:rsidR="008E4B08" w:rsidRDefault="00C51EF0">
      <w:pPr>
        <w:pStyle w:val="ListParagraph"/>
        <w:numPr>
          <w:ilvl w:val="0"/>
          <w:numId w:val="2"/>
        </w:numPr>
        <w:spacing w:line="480" w:lineRule="auto"/>
        <w:jc w:val="both"/>
      </w:pPr>
      <w:r>
        <w:rPr>
          <w:b/>
          <w:bCs/>
        </w:rPr>
        <w:t>Confront idolatry with truth.</w:t>
      </w:r>
      <w:r>
        <w:t xml:space="preserve"> The Old Testament takes the language used of Baal and </w:t>
      </w:r>
      <w:proofErr w:type="spellStart"/>
      <w:r>
        <w:t>Marduk</w:t>
      </w:r>
      <w:proofErr w:type="spellEnd"/>
      <w:r>
        <w:t xml:space="preserve"> and declares that the Lord alone rules the sea, the storm and death. The church today must boldly proclaim Christ's lordship over every spiritual power feared in our communities (Col 2:15).</w:t>
      </w:r>
    </w:p>
    <w:p w:rsidR="008E4B08" w:rsidRDefault="00C51EF0">
      <w:pPr>
        <w:pStyle w:val="ListParagraph"/>
        <w:numPr>
          <w:ilvl w:val="0"/>
          <w:numId w:val="2"/>
        </w:numPr>
        <w:spacing w:line="480" w:lineRule="auto"/>
        <w:jc w:val="both"/>
      </w:pPr>
      <w:r>
        <w:rPr>
          <w:b/>
          <w:bCs/>
        </w:rPr>
        <w:lastRenderedPageBreak/>
        <w:t>Justice reflects God's character.</w:t>
      </w:r>
      <w:r>
        <w:t xml:space="preserve"> Biblical law stands out for its care of the widow, the orphan and the stranger. Believers should show the same care in a society marked by inequality.</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 xml:space="preserve">Lord of all nations, thank you for speaking to your people in their own world and language. Give me discernment to </w:t>
      </w:r>
      <w:proofErr w:type="spellStart"/>
      <w:r>
        <w:rPr>
          <w:i/>
          <w:iCs/>
        </w:rPr>
        <w:t>honour</w:t>
      </w:r>
      <w:proofErr w:type="spellEnd"/>
      <w:r>
        <w:rPr>
          <w:i/>
          <w:iCs/>
        </w:rPr>
        <w:t xml:space="preserve"> what is good in my culture and courage to reject what </w:t>
      </w:r>
      <w:proofErr w:type="spellStart"/>
      <w:r>
        <w:rPr>
          <w:i/>
          <w:iCs/>
        </w:rPr>
        <w:t>dishonours</w:t>
      </w:r>
      <w:proofErr w:type="spellEnd"/>
      <w:r>
        <w:rPr>
          <w:i/>
          <w:iCs/>
        </w:rPr>
        <w:t xml:space="preserve"> you. Let my life proclaim that you alone are God, and make me a defender of the weak. In Jesus' name. Amen.</w:t>
      </w:r>
    </w:p>
    <w:p w:rsidR="008E4B08" w:rsidRDefault="00C51EF0">
      <w:pPr>
        <w:pStyle w:val="Heading2"/>
        <w:keepNext/>
        <w:spacing w:before="240" w:after="120" w:line="360" w:lineRule="auto"/>
      </w:pPr>
      <w:bookmarkStart w:id="76" w:name="_Toc241908437"/>
      <w:r>
        <w:t>5.10 Discussion Questions</w:t>
      </w:r>
      <w:bookmarkEnd w:id="76"/>
    </w:p>
    <w:p w:rsidR="008E4B08" w:rsidRDefault="00C51EF0">
      <w:pPr>
        <w:tabs>
          <w:tab w:val="left" w:pos="720"/>
        </w:tabs>
        <w:spacing w:line="480" w:lineRule="auto"/>
        <w:ind w:left="720" w:hanging="360"/>
        <w:jc w:val="both"/>
      </w:pPr>
      <w:r>
        <w:t>1.</w:t>
      </w:r>
      <w:r>
        <w:tab/>
        <w:t xml:space="preserve">Compare the flood story in the </w:t>
      </w:r>
      <w:r>
        <w:rPr>
          <w:i/>
          <w:iCs/>
        </w:rPr>
        <w:t>Epic of Gilgamesh</w:t>
      </w:r>
      <w:r>
        <w:t xml:space="preserve"> with Genesis 6–9. What do the similarities and differences suggest?</w:t>
      </w:r>
    </w:p>
    <w:p w:rsidR="008E4B08" w:rsidRDefault="00C51EF0">
      <w:pPr>
        <w:tabs>
          <w:tab w:val="left" w:pos="720"/>
        </w:tabs>
        <w:spacing w:line="480" w:lineRule="auto"/>
        <w:ind w:left="720" w:hanging="360"/>
        <w:jc w:val="both"/>
      </w:pPr>
      <w:r>
        <w:t>2.</w:t>
      </w:r>
      <w:r>
        <w:tab/>
        <w:t>Evaluate the argument that the covenant form in Deuteronomy reflects Hittite treaties of the second millennium BC.</w:t>
      </w:r>
    </w:p>
    <w:p w:rsidR="008E4B08" w:rsidRDefault="00C51EF0">
      <w:pPr>
        <w:tabs>
          <w:tab w:val="left" w:pos="720"/>
        </w:tabs>
        <w:spacing w:line="480" w:lineRule="auto"/>
        <w:ind w:left="720" w:hanging="360"/>
        <w:jc w:val="both"/>
      </w:pPr>
      <w:r>
        <w:t>3.</w:t>
      </w:r>
      <w:r>
        <w:tab/>
        <w:t>What does Ugaritic literature contribute to our understanding of the Old Testament's opposition to Baal?</w:t>
      </w:r>
    </w:p>
    <w:p w:rsidR="008E4B08" w:rsidRDefault="00C51EF0">
      <w:pPr>
        <w:tabs>
          <w:tab w:val="left" w:pos="720"/>
        </w:tabs>
        <w:spacing w:line="480" w:lineRule="auto"/>
        <w:ind w:left="720" w:hanging="360"/>
        <w:jc w:val="both"/>
      </w:pPr>
      <w:r>
        <w:t>4.</w:t>
      </w:r>
      <w:r>
        <w:tab/>
        <w:t>How should evangelical scholars understand the theological significance of ancient Near Eastern parallels? Use an African example in your answer.</w:t>
      </w:r>
    </w:p>
    <w:p w:rsidR="008E4B08" w:rsidRDefault="00C51EF0">
      <w:pPr>
        <w:pStyle w:val="Heading2"/>
        <w:keepNext/>
        <w:spacing w:before="240" w:after="120" w:line="360" w:lineRule="auto"/>
      </w:pPr>
      <w:bookmarkStart w:id="77" w:name="_Toc241908438"/>
      <w:r>
        <w:t>5.11 Further Reading</w:t>
      </w:r>
      <w:bookmarkEnd w:id="77"/>
    </w:p>
    <w:p w:rsidR="008E4B08" w:rsidRDefault="00C51EF0">
      <w:pPr>
        <w:spacing w:after="160"/>
        <w:ind w:left="720" w:hanging="720"/>
      </w:pPr>
      <w:r>
        <w:t xml:space="preserve">Hallo, William W., and K. Lawson Younger Jr., </w:t>
      </w:r>
      <w:proofErr w:type="gramStart"/>
      <w:r>
        <w:t>eds</w:t>
      </w:r>
      <w:proofErr w:type="gramEnd"/>
      <w:r>
        <w:t xml:space="preserve">. </w:t>
      </w:r>
      <w:r>
        <w:rPr>
          <w:i/>
          <w:iCs/>
        </w:rPr>
        <w:t>The Context of Scripture</w:t>
      </w:r>
      <w:r>
        <w:t>. 4 vols. Leiden: Brill, 1997–2017.</w:t>
      </w:r>
    </w:p>
    <w:p w:rsidR="008E4B08" w:rsidRDefault="00C51EF0">
      <w:pPr>
        <w:spacing w:after="160"/>
        <w:ind w:left="720" w:hanging="720"/>
      </w:pPr>
      <w:proofErr w:type="spellStart"/>
      <w:r>
        <w:t>Hoerth</w:t>
      </w:r>
      <w:proofErr w:type="spellEnd"/>
      <w:r>
        <w:t xml:space="preserve">, Alfred J. </w:t>
      </w:r>
      <w:r>
        <w:rPr>
          <w:i/>
          <w:iCs/>
        </w:rPr>
        <w:t>Archaeology and the Old Testament</w:t>
      </w:r>
      <w:r>
        <w:t>. Grand Rapids: Baker, 1998.</w:t>
      </w:r>
    </w:p>
    <w:p w:rsidR="008E4B08" w:rsidRDefault="00C51EF0">
      <w:pPr>
        <w:spacing w:after="160"/>
        <w:ind w:left="720" w:hanging="720"/>
      </w:pPr>
      <w:r>
        <w:t xml:space="preserve">Walton, John H. </w:t>
      </w:r>
      <w:r>
        <w:rPr>
          <w:i/>
          <w:iCs/>
        </w:rPr>
        <w:t xml:space="preserve">Ancient </w:t>
      </w:r>
      <w:proofErr w:type="gramStart"/>
      <w:r>
        <w:rPr>
          <w:i/>
          <w:iCs/>
        </w:rPr>
        <w:t>Near</w:t>
      </w:r>
      <w:proofErr w:type="gramEnd"/>
      <w:r>
        <w:rPr>
          <w:i/>
          <w:iCs/>
        </w:rPr>
        <w:t xml:space="preserve"> Eastern Thought and the Old Testament</w:t>
      </w:r>
      <w:r>
        <w:t>. 2nd ed. Grand Rapids: Baker Academic, 2018.</w:t>
      </w:r>
    </w:p>
    <w:p w:rsidR="008E4B08" w:rsidRDefault="00C51EF0">
      <w:pPr>
        <w:pStyle w:val="Heading1"/>
        <w:pageBreakBefore/>
        <w:spacing w:after="360" w:line="360" w:lineRule="auto"/>
        <w:jc w:val="center"/>
      </w:pPr>
      <w:bookmarkStart w:id="78" w:name="_Toc241908439"/>
      <w:r>
        <w:lastRenderedPageBreak/>
        <w:t>UNIT SIX: ARCHAEOLOGY AND THE PATRIARCHAL NARRATIVES</w:t>
      </w:r>
      <w:bookmarkEnd w:id="78"/>
    </w:p>
    <w:p w:rsidR="008E4B08" w:rsidRDefault="00C51EF0">
      <w:pPr>
        <w:pStyle w:val="Heading2"/>
        <w:keepNext/>
        <w:spacing w:before="240" w:after="120" w:line="360" w:lineRule="auto"/>
      </w:pPr>
      <w:bookmarkStart w:id="79" w:name="_Toc241908440"/>
      <w:r>
        <w:t>6.1 Introduction</w:t>
      </w:r>
      <w:bookmarkEnd w:id="79"/>
    </w:p>
    <w:p w:rsidR="008E4B08" w:rsidRDefault="00C51EF0">
      <w:pPr>
        <w:spacing w:line="480" w:lineRule="auto"/>
        <w:jc w:val="both"/>
      </w:pPr>
      <w:r>
        <w:t xml:space="preserve">The stories of Abraham, Isaac, Jacob and Joseph in Genesis 12–50 are the foundation of Israel's identity and of the Christian understanding of faith (Rom 4; </w:t>
      </w:r>
      <w:proofErr w:type="spellStart"/>
      <w:r>
        <w:t>Heb</w:t>
      </w:r>
      <w:proofErr w:type="spellEnd"/>
      <w:r>
        <w:t xml:space="preserve"> 11). For much of the twentieth century, scholars of the Albright school believed that archaeology had placed these figures firmly in the early second millennium BC. From the 1970s this view was strongly challenged. This unit looks at the evidence and arguments on both sides and asks what archaeology can and cannot tell us about the patriarchs.</w:t>
      </w:r>
    </w:p>
    <w:p w:rsidR="008E4B08" w:rsidRDefault="00C51EF0">
      <w:pPr>
        <w:pStyle w:val="Heading2"/>
        <w:keepNext/>
        <w:spacing w:before="240" w:after="120" w:line="360" w:lineRule="auto"/>
      </w:pPr>
      <w:bookmarkStart w:id="80" w:name="_Toc241908441"/>
      <w:r>
        <w:t>6.2 Learning Objectives</w:t>
      </w:r>
      <w:bookmarkEnd w:id="80"/>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explain the Albright school's case for the historical setting of the patriarchs;</w:t>
      </w:r>
    </w:p>
    <w:p w:rsidR="008E4B08" w:rsidRDefault="00C51EF0">
      <w:pPr>
        <w:pStyle w:val="ListParagraph"/>
        <w:numPr>
          <w:ilvl w:val="0"/>
          <w:numId w:val="2"/>
        </w:numPr>
        <w:spacing w:line="480" w:lineRule="auto"/>
        <w:jc w:val="both"/>
      </w:pPr>
      <w:proofErr w:type="spellStart"/>
      <w:r>
        <w:t>summarise</w:t>
      </w:r>
      <w:proofErr w:type="spellEnd"/>
      <w:r>
        <w:t xml:space="preserve"> the criticisms of Thompson, Van </w:t>
      </w:r>
      <w:proofErr w:type="spellStart"/>
      <w:r>
        <w:t>Seters</w:t>
      </w:r>
      <w:proofErr w:type="spellEnd"/>
      <w:r>
        <w:t xml:space="preserve"> and others;</w:t>
      </w:r>
    </w:p>
    <w:p w:rsidR="008E4B08" w:rsidRDefault="00C51EF0">
      <w:pPr>
        <w:pStyle w:val="ListParagraph"/>
        <w:numPr>
          <w:ilvl w:val="0"/>
          <w:numId w:val="2"/>
        </w:numPr>
        <w:spacing w:line="480" w:lineRule="auto"/>
        <w:jc w:val="both"/>
      </w:pPr>
      <w:r>
        <w:t>evaluate specific questions about names, customs, camels and the Joseph story; and</w:t>
      </w:r>
    </w:p>
    <w:p w:rsidR="008E4B08" w:rsidRDefault="00C51EF0">
      <w:pPr>
        <w:pStyle w:val="ListParagraph"/>
        <w:numPr>
          <w:ilvl w:val="0"/>
          <w:numId w:val="2"/>
        </w:numPr>
        <w:spacing w:line="480" w:lineRule="auto"/>
        <w:jc w:val="both"/>
      </w:pPr>
      <w:proofErr w:type="gramStart"/>
      <w:r>
        <w:t>state</w:t>
      </w:r>
      <w:proofErr w:type="gramEnd"/>
      <w:r>
        <w:t xml:space="preserve"> a balanced view of the historical setting of the patriarchal stories.</w:t>
      </w:r>
    </w:p>
    <w:p w:rsidR="008E4B08" w:rsidRDefault="00C51EF0">
      <w:pPr>
        <w:pStyle w:val="Heading2"/>
        <w:keepNext/>
        <w:spacing w:before="240" w:after="120" w:line="360" w:lineRule="auto"/>
      </w:pPr>
      <w:bookmarkStart w:id="81" w:name="_Toc241908442"/>
      <w:r>
        <w:t>6.3 The Nature of the Evidence</w:t>
      </w:r>
      <w:bookmarkEnd w:id="81"/>
    </w:p>
    <w:p w:rsidR="008E4B08" w:rsidRDefault="00C51EF0">
      <w:pPr>
        <w:spacing w:line="480" w:lineRule="auto"/>
        <w:jc w:val="both"/>
      </w:pPr>
      <w:r>
        <w:t>We must begin by being honest about the evidence. No inscription or object has been found that names Abraham, Isaac, Jacob or Joseph. This is not surprising. The patriarchs were heads of extended families who moved from place to place, lived in tents and built no monuments. Such people rarely appear in the records of great kingdoms. The historical question, therefore, is not "Has archaeology found Abraham?" but "Do the stories fit a particular historical setting?"</w:t>
      </w:r>
    </w:p>
    <w:p w:rsidR="008E4B08" w:rsidRDefault="00C51EF0">
      <w:pPr>
        <w:spacing w:line="480" w:lineRule="auto"/>
        <w:ind w:firstLine="720"/>
        <w:jc w:val="both"/>
      </w:pPr>
      <w:r>
        <w:rPr>
          <w:b/>
          <w:bCs/>
        </w:rPr>
        <w:t>Example.</w:t>
      </w:r>
      <w:r>
        <w:t xml:space="preserve"> Think of a respected grandfather in a Nigerian village in the 1800s who moved his family from one region to another in search of farmland. He left no buildings and appears in no government record. Yet his descendants remember his journey, his wives, his </w:t>
      </w:r>
      <w:r>
        <w:lastRenderedPageBreak/>
        <w:t>blessings and his disputes. The lack of official records does not mean he never lived. The patriarchs belong to this kind of family history.</w:t>
      </w:r>
    </w:p>
    <w:p w:rsidR="008E4B08" w:rsidRDefault="00C51EF0">
      <w:pPr>
        <w:pStyle w:val="Heading2"/>
        <w:keepNext/>
        <w:spacing w:before="240" w:after="120" w:line="360" w:lineRule="auto"/>
      </w:pPr>
      <w:bookmarkStart w:id="82" w:name="_Toc241908443"/>
      <w:r>
        <w:t>6.4 The Albright View</w:t>
      </w:r>
      <w:bookmarkEnd w:id="82"/>
    </w:p>
    <w:p w:rsidR="008E4B08" w:rsidRDefault="00C51EF0">
      <w:pPr>
        <w:spacing w:line="480" w:lineRule="auto"/>
        <w:jc w:val="both"/>
      </w:pPr>
      <w:r>
        <w:t xml:space="preserve">Albright, Cyrus Gordon, Ephraim </w:t>
      </w:r>
      <w:proofErr w:type="spellStart"/>
      <w:r>
        <w:t>Speiser</w:t>
      </w:r>
      <w:proofErr w:type="spellEnd"/>
      <w:r>
        <w:t xml:space="preserve"> and others argued that the patriarchal stories fit the Middle Bronze Age (about 2000–1550 BC). Their main arguments were these:</w:t>
      </w:r>
    </w:p>
    <w:p w:rsidR="008E4B08" w:rsidRDefault="00C51EF0">
      <w:pPr>
        <w:pStyle w:val="ListParagraph"/>
        <w:numPr>
          <w:ilvl w:val="0"/>
          <w:numId w:val="2"/>
        </w:numPr>
        <w:spacing w:line="480" w:lineRule="auto"/>
        <w:jc w:val="both"/>
      </w:pPr>
      <w:r>
        <w:rPr>
          <w:b/>
          <w:bCs/>
        </w:rPr>
        <w:t>Personal names.</w:t>
      </w:r>
      <w:r>
        <w:t xml:space="preserve"> Names like those of the patriarchs, such as names formed with </w:t>
      </w:r>
      <w:proofErr w:type="spellStart"/>
      <w:r>
        <w:rPr>
          <w:i/>
          <w:iCs/>
        </w:rPr>
        <w:t>Yaqub</w:t>
      </w:r>
      <w:proofErr w:type="spellEnd"/>
      <w:r>
        <w:rPr>
          <w:i/>
          <w:iCs/>
        </w:rPr>
        <w:t>-</w:t>
      </w:r>
      <w:r>
        <w:t xml:space="preserve"> (compare Jacob) and </w:t>
      </w:r>
      <w:r>
        <w:rPr>
          <w:i/>
          <w:iCs/>
        </w:rPr>
        <w:t>Abi-ram</w:t>
      </w:r>
      <w:r>
        <w:t xml:space="preserve"> (compare Abram), were common among the Amorite peoples of the early second millennium.</w:t>
      </w:r>
    </w:p>
    <w:p w:rsidR="008E4B08" w:rsidRDefault="00C51EF0">
      <w:pPr>
        <w:pStyle w:val="ListParagraph"/>
        <w:numPr>
          <w:ilvl w:val="0"/>
          <w:numId w:val="2"/>
        </w:numPr>
        <w:spacing w:line="480" w:lineRule="auto"/>
        <w:jc w:val="both"/>
      </w:pPr>
      <w:r>
        <w:rPr>
          <w:b/>
          <w:bCs/>
        </w:rPr>
        <w:t>Migration.</w:t>
      </w:r>
      <w:r>
        <w:t xml:space="preserve"> Albright linked Abraham's journey from Ur and Haran with movements of Amorite peoples at that time.</w:t>
      </w:r>
    </w:p>
    <w:p w:rsidR="008E4B08" w:rsidRDefault="00C51EF0">
      <w:pPr>
        <w:pStyle w:val="ListParagraph"/>
        <w:numPr>
          <w:ilvl w:val="0"/>
          <w:numId w:val="2"/>
        </w:numPr>
        <w:spacing w:line="480" w:lineRule="auto"/>
        <w:jc w:val="both"/>
      </w:pPr>
      <w:r>
        <w:rPr>
          <w:b/>
          <w:bCs/>
        </w:rPr>
        <w:t>Customs.</w:t>
      </w:r>
      <w:r>
        <w:t xml:space="preserve"> Gordon and </w:t>
      </w:r>
      <w:proofErr w:type="spellStart"/>
      <w:r>
        <w:t>Speiser</w:t>
      </w:r>
      <w:proofErr w:type="spellEnd"/>
      <w:r>
        <w:t xml:space="preserve"> compared the patriarchs' customs with the </w:t>
      </w:r>
      <w:proofErr w:type="spellStart"/>
      <w:r>
        <w:t>Nuzi</w:t>
      </w:r>
      <w:proofErr w:type="spellEnd"/>
      <w:r>
        <w:t xml:space="preserve"> texts. Sarah giving her servant Hagar to Abraham (Gen 16), Rachel stealing Laban's household gods (Gen 31) and Eliezer as Abraham's heir (Gen 15:2–3) all seemed to match customs at </w:t>
      </w:r>
      <w:proofErr w:type="spellStart"/>
      <w:r>
        <w:t>Nuzi</w:t>
      </w:r>
      <w:proofErr w:type="spellEnd"/>
      <w:r>
        <w:t>.</w:t>
      </w:r>
    </w:p>
    <w:p w:rsidR="008E4B08" w:rsidRDefault="00C51EF0">
      <w:pPr>
        <w:pStyle w:val="ListParagraph"/>
        <w:numPr>
          <w:ilvl w:val="0"/>
          <w:numId w:val="2"/>
        </w:numPr>
        <w:spacing w:line="480" w:lineRule="auto"/>
        <w:jc w:val="both"/>
      </w:pPr>
      <w:r>
        <w:rPr>
          <w:b/>
          <w:bCs/>
        </w:rPr>
        <w:t>Conditions in Canaan.</w:t>
      </w:r>
      <w:r>
        <w:t xml:space="preserve"> The movements of the patriarchs among </w:t>
      </w:r>
      <w:proofErr w:type="spellStart"/>
      <w:r>
        <w:t>Shechem</w:t>
      </w:r>
      <w:proofErr w:type="spellEnd"/>
      <w:r>
        <w:t>, Bethel, Hebron and Beersheba seemed to fit the pattern of towns at that time.</w:t>
      </w:r>
    </w:p>
    <w:p w:rsidR="008E4B08" w:rsidRDefault="00C51EF0">
      <w:pPr>
        <w:spacing w:line="480" w:lineRule="auto"/>
        <w:ind w:firstLine="720"/>
        <w:jc w:val="both"/>
      </w:pPr>
      <w:r>
        <w:t>John Bright concluded that the patriarchal stories were firmly rooted in the history of the second millennium BC.</w:t>
      </w:r>
      <w:r>
        <w:rPr>
          <w:vertAlign w:val="superscript"/>
        </w:rPr>
        <w:t>33</w:t>
      </w:r>
    </w:p>
    <w:p w:rsidR="008E4B08" w:rsidRDefault="00C51EF0">
      <w:pPr>
        <w:pStyle w:val="Heading2"/>
        <w:keepNext/>
        <w:spacing w:before="240" w:after="120" w:line="360" w:lineRule="auto"/>
      </w:pPr>
      <w:bookmarkStart w:id="83" w:name="_Toc241908444"/>
      <w:r>
        <w:t>6.5 The Challenge</w:t>
      </w:r>
      <w:bookmarkEnd w:id="83"/>
    </w:p>
    <w:p w:rsidR="008E4B08" w:rsidRDefault="00C51EF0">
      <w:pPr>
        <w:spacing w:line="480" w:lineRule="auto"/>
        <w:jc w:val="both"/>
      </w:pPr>
      <w:r>
        <w:t>In the 1970s this view came under strong criticism. Thomas Thompson examined the evidence in detail and argued that none of it required a second-millennium date.</w:t>
      </w:r>
      <w:r>
        <w:rPr>
          <w:vertAlign w:val="superscript"/>
        </w:rPr>
        <w:t>34</w:t>
      </w:r>
      <w:r>
        <w:t xml:space="preserve"> John Van </w:t>
      </w:r>
      <w:proofErr w:type="spellStart"/>
      <w:r>
        <w:t>Seters</w:t>
      </w:r>
      <w:proofErr w:type="spellEnd"/>
      <w:r>
        <w:t xml:space="preserve"> argued that the stories were mostly written during the exile and reflected the conditions of the first millennium BC.</w:t>
      </w:r>
      <w:r>
        <w:rPr>
          <w:vertAlign w:val="superscript"/>
        </w:rPr>
        <w:t>35</w:t>
      </w:r>
    </w:p>
    <w:p w:rsidR="008E4B08" w:rsidRDefault="00C51EF0">
      <w:pPr>
        <w:spacing w:line="480" w:lineRule="auto"/>
        <w:ind w:firstLine="720"/>
        <w:jc w:val="both"/>
      </w:pPr>
      <w:r>
        <w:t>Their main points were:</w:t>
      </w:r>
    </w:p>
    <w:p w:rsidR="008E4B08" w:rsidRDefault="00C51EF0">
      <w:pPr>
        <w:pStyle w:val="ListParagraph"/>
        <w:numPr>
          <w:ilvl w:val="0"/>
          <w:numId w:val="2"/>
        </w:numPr>
        <w:spacing w:line="480" w:lineRule="auto"/>
        <w:jc w:val="both"/>
      </w:pPr>
      <w:r>
        <w:lastRenderedPageBreak/>
        <w:t>Names like the patriarchs' are found in both the second and the first millennium, so they cannot fix a date.</w:t>
      </w:r>
    </w:p>
    <w:p w:rsidR="008E4B08" w:rsidRDefault="00C51EF0">
      <w:pPr>
        <w:pStyle w:val="ListParagraph"/>
        <w:numPr>
          <w:ilvl w:val="0"/>
          <w:numId w:val="2"/>
        </w:numPr>
        <w:spacing w:line="480" w:lineRule="auto"/>
        <w:jc w:val="both"/>
      </w:pPr>
      <w:r>
        <w:t>The idea of an Amorite migration was based on doubtful evidence.</w:t>
      </w:r>
    </w:p>
    <w:p w:rsidR="008E4B08" w:rsidRDefault="00C51EF0">
      <w:pPr>
        <w:pStyle w:val="ListParagraph"/>
        <w:numPr>
          <w:ilvl w:val="0"/>
          <w:numId w:val="2"/>
        </w:numPr>
        <w:spacing w:line="480" w:lineRule="auto"/>
        <w:jc w:val="both"/>
      </w:pPr>
      <w:r>
        <w:t xml:space="preserve">Many of the </w:t>
      </w:r>
      <w:proofErr w:type="spellStart"/>
      <w:r>
        <w:t>Nuzi</w:t>
      </w:r>
      <w:proofErr w:type="spellEnd"/>
      <w:r>
        <w:t xml:space="preserve"> parallels had been misunderstood. For example, there was no clear evidence that holding household gods gave a right of inheritance, and the use of a slave woman to bear children is found in many periods.</w:t>
      </w:r>
    </w:p>
    <w:p w:rsidR="008E4B08" w:rsidRDefault="00C51EF0">
      <w:pPr>
        <w:pStyle w:val="ListParagraph"/>
        <w:numPr>
          <w:ilvl w:val="0"/>
          <w:numId w:val="2"/>
        </w:numPr>
        <w:spacing w:line="480" w:lineRule="auto"/>
        <w:jc w:val="both"/>
      </w:pPr>
      <w:r>
        <w:t xml:space="preserve">Some details seemed to belong to a later time: the Philistines (Gen 21; 26), "Ur of the Chaldeans" (Gen 11:28), the </w:t>
      </w:r>
      <w:proofErr w:type="spellStart"/>
      <w:r>
        <w:t>Aramaeans</w:t>
      </w:r>
      <w:proofErr w:type="spellEnd"/>
      <w:r>
        <w:t xml:space="preserve"> and tame camels.</w:t>
      </w:r>
    </w:p>
    <w:p w:rsidR="008E4B08" w:rsidRDefault="00C51EF0">
      <w:pPr>
        <w:spacing w:line="480" w:lineRule="auto"/>
        <w:ind w:firstLine="720"/>
        <w:jc w:val="both"/>
      </w:pPr>
      <w:r>
        <w:t>These criticisms were widely accepted, and for a time many scholars said the patriarchal stories had no historical basis at all.</w:t>
      </w:r>
    </w:p>
    <w:p w:rsidR="008E4B08" w:rsidRDefault="00C51EF0">
      <w:pPr>
        <w:pStyle w:val="Heading2"/>
        <w:keepNext/>
        <w:spacing w:before="240" w:after="120" w:line="360" w:lineRule="auto"/>
      </w:pPr>
      <w:bookmarkStart w:id="84" w:name="_Toc241908445"/>
      <w:r>
        <w:t>6.6 Examining the Main Questions</w:t>
      </w:r>
      <w:bookmarkEnd w:id="84"/>
    </w:p>
    <w:p w:rsidR="008E4B08" w:rsidRDefault="00C51EF0">
      <w:pPr>
        <w:pStyle w:val="Heading3"/>
        <w:keepNext/>
        <w:spacing w:before="120" w:after="60" w:line="360" w:lineRule="auto"/>
      </w:pPr>
      <w:r>
        <w:t>6.6.1 Customs Reconsidered</w:t>
      </w:r>
    </w:p>
    <w:p w:rsidR="008E4B08" w:rsidRDefault="00C51EF0">
      <w:pPr>
        <w:spacing w:line="480" w:lineRule="auto"/>
        <w:jc w:val="both"/>
      </w:pPr>
      <w:r>
        <w:t>Later scholars re-examined the comparisons more carefully. Martin Selman concluded that many of the earlier parallels had been exaggerated, but that some customs of the patriarchs do have real parallels in second-millennium texts, though some are also found later.</w:t>
      </w:r>
      <w:r>
        <w:rPr>
          <w:vertAlign w:val="superscript"/>
        </w:rPr>
        <w:t>36</w:t>
      </w:r>
      <w:r>
        <w:t xml:space="preserve"> </w:t>
      </w:r>
      <w:proofErr w:type="gramStart"/>
      <w:r>
        <w:t>The</w:t>
      </w:r>
      <w:proofErr w:type="gramEnd"/>
      <w:r>
        <w:t xml:space="preserve"> comparisons, in other words, neither prove nor disprove a second-millennium setting.</w:t>
      </w:r>
    </w:p>
    <w:p w:rsidR="008E4B08" w:rsidRDefault="00C51EF0">
      <w:pPr>
        <w:pStyle w:val="Heading3"/>
        <w:keepNext/>
        <w:spacing w:before="120" w:after="60" w:line="360" w:lineRule="auto"/>
      </w:pPr>
      <w:r>
        <w:t>6.6.2 The Price of a Slave</w:t>
      </w:r>
    </w:p>
    <w:p w:rsidR="008E4B08" w:rsidRDefault="00C51EF0">
      <w:pPr>
        <w:spacing w:line="480" w:lineRule="auto"/>
        <w:jc w:val="both"/>
      </w:pPr>
      <w:r>
        <w:t xml:space="preserve">Kenneth Kitchen pointed to the price of twenty shekels of silver paid for Joseph (Gen 37:28). He showed that the average price of slaves in the ancient Near East rose over time: about ten to fifteen shekels in the third millennium, about twenty in the early second millennium, about thirty later in the second millennium (compare </w:t>
      </w:r>
      <w:proofErr w:type="spellStart"/>
      <w:r>
        <w:t>Exod</w:t>
      </w:r>
      <w:proofErr w:type="spellEnd"/>
      <w:r>
        <w:t xml:space="preserve"> 21:32) and fifty to sixty in the first millennium. The price paid for Joseph therefore fits the early second millennium very well, and a writer in the time of the exile would probably not have known it.</w:t>
      </w:r>
      <w:r>
        <w:rPr>
          <w:vertAlign w:val="superscript"/>
        </w:rPr>
        <w:t>37</w:t>
      </w:r>
    </w:p>
    <w:p w:rsidR="008E4B08" w:rsidRDefault="00C51EF0">
      <w:pPr>
        <w:spacing w:line="480" w:lineRule="auto"/>
        <w:ind w:firstLine="720"/>
        <w:jc w:val="both"/>
      </w:pPr>
      <w:r>
        <w:rPr>
          <w:b/>
          <w:bCs/>
        </w:rPr>
        <w:t>Example.</w:t>
      </w:r>
      <w:r>
        <w:t xml:space="preserve"> Prices are a good clue to dating. If a Nigerian story mentioned buying a bag of rice for a few naira, readers would know it describes a time long ago, not the present. A later </w:t>
      </w:r>
      <w:r>
        <w:lastRenderedPageBreak/>
        <w:t>writer making up a story would naturally use the prices of his own time. In the same way, the price paid for Joseph points to an early period.</w:t>
      </w:r>
    </w:p>
    <w:p w:rsidR="008E4B08" w:rsidRDefault="00C51EF0">
      <w:pPr>
        <w:pStyle w:val="Heading3"/>
        <w:keepNext/>
        <w:spacing w:before="120" w:after="60" w:line="360" w:lineRule="auto"/>
      </w:pPr>
      <w:r>
        <w:t>6.6.3 The Camel Question</w:t>
      </w:r>
    </w:p>
    <w:p w:rsidR="008E4B08" w:rsidRDefault="00C51EF0">
      <w:pPr>
        <w:spacing w:line="480" w:lineRule="auto"/>
        <w:jc w:val="both"/>
      </w:pPr>
      <w:r>
        <w:t xml:space="preserve">Camels appear in the stories of Abraham (Gen 12:16; 24), Jacob (Gen 31) and Joseph (Gen 37:25). Albright himself thought these references were out of place, because he believed camels were not tamed until about 1100 BC. In 2014 the media widely reported a study by Lidar Sapir-Hen and </w:t>
      </w:r>
      <w:proofErr w:type="spellStart"/>
      <w:r>
        <w:t>Erez</w:t>
      </w:r>
      <w:proofErr w:type="spellEnd"/>
      <w:r>
        <w:t xml:space="preserve"> Ben-Yosef as "proving the Bible wrong". The study showed that tame camels appeared in significant numbers in the southern Levant in the late tenth century BC, in connection with the copper trade.</w:t>
      </w:r>
      <w:r>
        <w:rPr>
          <w:vertAlign w:val="superscript"/>
        </w:rPr>
        <w:t>38</w:t>
      </w:r>
    </w:p>
    <w:p w:rsidR="008E4B08" w:rsidRDefault="00C51EF0">
      <w:pPr>
        <w:spacing w:line="480" w:lineRule="auto"/>
        <w:ind w:firstLine="720"/>
        <w:jc w:val="both"/>
      </w:pPr>
      <w:r>
        <w:t>The evidence, however, is more complicated than the headlines suggested. Tame camels are found earlier in Arabia and Mesopotamia, and there is some earlier evidence of camels in Egypt and the Levant. In Genesis, camels are mostly connected with wealthy herders or traders coming from the east or travelling to Egypt, not with ordinary life in Canaan. A small number of camels owned by wealthy herders would leave very little trace in the ground. The camel question is therefore still open, and it shows the danger of reading too much into both positive and negative evidence.</w:t>
      </w:r>
    </w:p>
    <w:p w:rsidR="008E4B08" w:rsidRDefault="00C51EF0">
      <w:pPr>
        <w:pStyle w:val="Heading3"/>
        <w:keepNext/>
        <w:spacing w:before="120" w:after="60" w:line="360" w:lineRule="auto"/>
      </w:pPr>
      <w:r>
        <w:t>6.6.4 Philistines and Chaldeans</w:t>
      </w:r>
    </w:p>
    <w:p w:rsidR="008E4B08" w:rsidRDefault="00C51EF0">
      <w:pPr>
        <w:spacing w:line="480" w:lineRule="auto"/>
        <w:jc w:val="both"/>
      </w:pPr>
      <w:r>
        <w:t xml:space="preserve">The Philistines as a people arrived in Canaan about 1175 BC, after the time of the patriarchs. The reference to Abimelech "king of the Philistines" at </w:t>
      </w:r>
      <w:proofErr w:type="spellStart"/>
      <w:r>
        <w:t>Gerar</w:t>
      </w:r>
      <w:proofErr w:type="spellEnd"/>
      <w:r>
        <w:t xml:space="preserve"> (Gen 26:1) is therefore often called an anachronism, something placed in the wrong time. Some scholars suggest that a later writer used the name of the people who lived in that region in his own day. Others note that the </w:t>
      </w:r>
      <w:proofErr w:type="spellStart"/>
      <w:r>
        <w:t>Gerar</w:t>
      </w:r>
      <w:proofErr w:type="spellEnd"/>
      <w:r>
        <w:t xml:space="preserve"> "Philistines" in Genesis behave very differently from the later Philistine cities. Similarly, "Ur of the Chaldeans" uses a name that appears only in the first millennium. Such features may come from later editors updating place names, which is common in ancient writings.</w:t>
      </w:r>
    </w:p>
    <w:p w:rsidR="008E4B08" w:rsidRDefault="00C51EF0">
      <w:pPr>
        <w:spacing w:line="480" w:lineRule="auto"/>
        <w:ind w:firstLine="720"/>
        <w:jc w:val="both"/>
      </w:pPr>
      <w:r>
        <w:rPr>
          <w:b/>
          <w:bCs/>
        </w:rPr>
        <w:lastRenderedPageBreak/>
        <w:t>Example.</w:t>
      </w:r>
      <w:r>
        <w:t xml:space="preserve"> A Nigerian historian writing today about events in the region of Lagos in the 1700s might naturally say "Lagos State", although Lagos State was only created in 1967. He uses the name his readers know. In the same way, a later biblical editor may have used names familiar to his own readers.</w:t>
      </w:r>
    </w:p>
    <w:p w:rsidR="008E4B08" w:rsidRDefault="00C51EF0">
      <w:pPr>
        <w:pStyle w:val="Heading3"/>
        <w:keepNext/>
        <w:spacing w:before="120" w:after="60" w:line="360" w:lineRule="auto"/>
      </w:pPr>
      <w:r>
        <w:t>6.6.5 The Joseph Story</w:t>
      </w:r>
    </w:p>
    <w:p w:rsidR="008E4B08" w:rsidRDefault="00C51EF0">
      <w:pPr>
        <w:spacing w:line="480" w:lineRule="auto"/>
        <w:jc w:val="both"/>
      </w:pPr>
      <w:r>
        <w:t xml:space="preserve">The Joseph story (Gen 37–50) contains many Egyptian details: titles of officials, the importance of dreams and dream interpreters, embalming, the Nile, the giving of an Egyptian name and wife, and Joseph's investiture with a gold chain and fine linen. James </w:t>
      </w:r>
      <w:proofErr w:type="spellStart"/>
      <w:r>
        <w:t>Hoffmeier</w:t>
      </w:r>
      <w:proofErr w:type="spellEnd"/>
      <w:r>
        <w:t xml:space="preserve"> and Kenneth Kitchen argue that these details fit Egypt of the second millennium BC, while Donald Redford concluded that they best fit Egypt of the seventh and sixth centuries BC.</w:t>
      </w:r>
      <w:r>
        <w:rPr>
          <w:vertAlign w:val="superscript"/>
        </w:rPr>
        <w:t>39</w:t>
      </w:r>
    </w:p>
    <w:p w:rsidR="008E4B08" w:rsidRDefault="00C51EF0">
      <w:pPr>
        <w:spacing w:line="480" w:lineRule="auto"/>
        <w:ind w:firstLine="720"/>
        <w:jc w:val="both"/>
      </w:pPr>
      <w:r>
        <w:t xml:space="preserve">A painting in the tomb of an Egyptian official called </w:t>
      </w:r>
      <w:proofErr w:type="spellStart"/>
      <w:r>
        <w:t>Khnumhotep</w:t>
      </w:r>
      <w:proofErr w:type="spellEnd"/>
      <w:r>
        <w:t xml:space="preserve"> II at </w:t>
      </w:r>
      <w:proofErr w:type="spellStart"/>
      <w:r>
        <w:t>Beni</w:t>
      </w:r>
      <w:proofErr w:type="spellEnd"/>
      <w:r>
        <w:t xml:space="preserve"> Hasan (about 1890 BC) shows a group of Asiatic people, led by a chief named </w:t>
      </w:r>
      <w:proofErr w:type="spellStart"/>
      <w:r>
        <w:t>Abishai</w:t>
      </w:r>
      <w:proofErr w:type="spellEnd"/>
      <w:r>
        <w:t xml:space="preserve">, arriving in Egypt with their families, donkeys and goods. It does not show the patriarchs, but it shows that Semitic groups really did travel to Egypt at that time. Excavations by Manfred </w:t>
      </w:r>
      <w:proofErr w:type="spellStart"/>
      <w:r>
        <w:t>Bietak</w:t>
      </w:r>
      <w:proofErr w:type="spellEnd"/>
      <w:r>
        <w:t xml:space="preserve"> at Tell el-</w:t>
      </w:r>
      <w:proofErr w:type="spellStart"/>
      <w:r>
        <w:t>Dab'a</w:t>
      </w:r>
      <w:proofErr w:type="spellEnd"/>
      <w:r>
        <w:t xml:space="preserve"> (ancient </w:t>
      </w:r>
      <w:proofErr w:type="spellStart"/>
      <w:r>
        <w:t>Avaris</w:t>
      </w:r>
      <w:proofErr w:type="spellEnd"/>
      <w:r>
        <w:t>) in the eastern Nile Delta have also shown that large numbers of Semitic people lived there in the Middle Bronze Age.</w:t>
      </w:r>
    </w:p>
    <w:p w:rsidR="008E4B08" w:rsidRDefault="00C51EF0">
      <w:pPr>
        <w:pStyle w:val="Heading2"/>
        <w:keepNext/>
        <w:spacing w:before="240" w:after="120" w:line="360" w:lineRule="auto"/>
      </w:pPr>
      <w:bookmarkStart w:id="85" w:name="_Toc241908446"/>
      <w:r>
        <w:t>6.7 A Balanced View</w:t>
      </w:r>
      <w:bookmarkEnd w:id="85"/>
    </w:p>
    <w:p w:rsidR="008E4B08" w:rsidRDefault="00C51EF0">
      <w:pPr>
        <w:spacing w:line="480" w:lineRule="auto"/>
        <w:jc w:val="both"/>
      </w:pPr>
      <w:r>
        <w:t>What can we conclude?</w:t>
      </w:r>
    </w:p>
    <w:p w:rsidR="008E4B08" w:rsidRDefault="00C51EF0">
      <w:pPr>
        <w:spacing w:line="480" w:lineRule="auto"/>
        <w:ind w:firstLine="720"/>
        <w:jc w:val="both"/>
      </w:pPr>
      <w:r>
        <w:t>First, archaeology cannot prove that the patriarchs existed, and it has not disproved their existence. The nature of the stories and of the people they describe makes direct evidence unlikely.</w:t>
      </w:r>
    </w:p>
    <w:p w:rsidR="008E4B08" w:rsidRDefault="00C51EF0">
      <w:pPr>
        <w:spacing w:line="480" w:lineRule="auto"/>
        <w:ind w:firstLine="720"/>
        <w:jc w:val="both"/>
      </w:pPr>
      <w:r>
        <w:t>Second, the strong claims of the Albright school were exaggerated, and students should not repeat them without care.</w:t>
      </w:r>
    </w:p>
    <w:p w:rsidR="008E4B08" w:rsidRDefault="00C51EF0">
      <w:pPr>
        <w:spacing w:line="480" w:lineRule="auto"/>
        <w:ind w:firstLine="720"/>
        <w:jc w:val="both"/>
      </w:pPr>
      <w:r>
        <w:lastRenderedPageBreak/>
        <w:t>Third, the opposite claim, that the stories are entirely late inventions, is also exaggerated. Some features fit the second millennium well, while others seem to reflect later updating.</w:t>
      </w:r>
    </w:p>
    <w:p w:rsidR="008E4B08" w:rsidRDefault="00C51EF0">
      <w:pPr>
        <w:spacing w:line="480" w:lineRule="auto"/>
        <w:ind w:firstLine="720"/>
        <w:jc w:val="both"/>
      </w:pPr>
      <w:r>
        <w:t>Fourth, the stories are best understood as traditions about ancestors handed down over many centuries, shaped and updated as they were passed on, and finally written down within the larger history of Israel. This view is compatible with the conviction that they preserve real memory and convey the truth that God called Abraham and made promises to him and his descendants.</w:t>
      </w:r>
    </w:p>
    <w:p w:rsidR="008E4B08" w:rsidRDefault="00C51EF0">
      <w:pPr>
        <w:spacing w:line="480" w:lineRule="auto"/>
        <w:ind w:firstLine="720"/>
        <w:jc w:val="both"/>
      </w:pPr>
      <w:r>
        <w:t>Alan Millard has noted features that are hard to explain as late inventions. For example, the patriarchs build altars wherever they go, which later law in Deuteronomy would forbid, and they use old forms of the divine name El.</w:t>
      </w:r>
      <w:r>
        <w:rPr>
          <w:vertAlign w:val="superscript"/>
        </w:rPr>
        <w:t>40</w:t>
      </w:r>
      <w:r>
        <w:t xml:space="preserve"> </w:t>
      </w:r>
      <w:proofErr w:type="gramStart"/>
      <w:r>
        <w:t>These</w:t>
      </w:r>
      <w:proofErr w:type="gramEnd"/>
      <w:r>
        <w:t xml:space="preserve"> features suggest that older traditions were preserved.</w:t>
      </w:r>
    </w:p>
    <w:p w:rsidR="008E4B08" w:rsidRDefault="00C51EF0">
      <w:pPr>
        <w:pStyle w:val="Heading2"/>
        <w:keepNext/>
        <w:spacing w:before="240" w:after="120" w:line="360" w:lineRule="auto"/>
      </w:pPr>
      <w:bookmarkStart w:id="86" w:name="_Toc241908447"/>
      <w:r>
        <w:t>6.8 An African Perspective</w:t>
      </w:r>
      <w:bookmarkEnd w:id="86"/>
    </w:p>
    <w:p w:rsidR="008E4B08" w:rsidRDefault="00C51EF0">
      <w:pPr>
        <w:spacing w:line="480" w:lineRule="auto"/>
        <w:jc w:val="both"/>
      </w:pPr>
      <w:r>
        <w:t xml:space="preserve">The world of the patriarchs is familiar to many African readers: extended families, ancestral promises, </w:t>
      </w:r>
      <w:proofErr w:type="gramStart"/>
      <w:r>
        <w:t>migration</w:t>
      </w:r>
      <w:proofErr w:type="gramEnd"/>
      <w:r>
        <w:t>, famine, polygamy, bride-price and inheritance disputes. African experience of oral tradition also challenges the assumption that stories passed down by word of mouth over centuries must be unreliable. Many African societies have preserved family histories and genealogies over long periods with considerable stability, though also with change. African scholars can bring these insights into the scholarly debate.</w:t>
      </w:r>
    </w:p>
    <w:p w:rsidR="008E4B08" w:rsidRDefault="00C51EF0">
      <w:pPr>
        <w:spacing w:line="480" w:lineRule="auto"/>
        <w:ind w:firstLine="720"/>
        <w:jc w:val="both"/>
      </w:pPr>
      <w:r>
        <w:rPr>
          <w:b/>
          <w:bCs/>
        </w:rPr>
        <w:t>Example.</w:t>
      </w:r>
      <w:r>
        <w:t xml:space="preserve"> In many Nigerian communities, elders can recite the names of ancestors going back many generations and tell the story of how the family came to settle in its present location. Historians have found that such traditions often contain real historical memory, even when details are shaped by later concerns. This helps us appreciate how the stories of Abraham and his family could be faithfully remembered.</w:t>
      </w:r>
    </w:p>
    <w:p w:rsidR="008E4B08" w:rsidRDefault="00C51EF0">
      <w:pPr>
        <w:pStyle w:val="Heading2"/>
        <w:keepNext/>
        <w:spacing w:before="240" w:after="120" w:line="360" w:lineRule="auto"/>
      </w:pPr>
      <w:bookmarkStart w:id="87" w:name="_Toc241908448"/>
      <w:r>
        <w:lastRenderedPageBreak/>
        <w:t>6.9 Summary</w:t>
      </w:r>
      <w:bookmarkEnd w:id="87"/>
    </w:p>
    <w:p w:rsidR="008E4B08" w:rsidRDefault="00C51EF0">
      <w:pPr>
        <w:spacing w:line="480" w:lineRule="auto"/>
        <w:jc w:val="both"/>
      </w:pPr>
      <w:r>
        <w:t>There is no direct archaeological evidence for the patriarchs, and none should be expected. The Albright school's confident dating of the patriarchs to the Middle Bronze Age was exaggerated, but so was the later claim that the stories are entirely late. Questions such as the price of slaves, camels, the Philistines and the Egyptian details of the Joseph story show a mixture of early and later features. The most balanced view sees the stories as old traditions preserved and updated over time, which faithfully convey God's call and promise to Abraham.</w:t>
      </w:r>
    </w:p>
    <w:p w:rsidR="008E4B08" w:rsidRDefault="00C51EF0">
      <w:pPr>
        <w:pStyle w:val="Heading2"/>
        <w:keepNext/>
        <w:spacing w:before="240" w:after="120" w:line="360" w:lineRule="auto"/>
      </w:pPr>
      <w:bookmarkStart w:id="88" w:name="_Toc241908449"/>
      <w:r>
        <w:t>6.10 Life Application</w:t>
      </w:r>
      <w:bookmarkEnd w:id="88"/>
    </w:p>
    <w:p w:rsidR="008E4B08" w:rsidRDefault="00C51EF0">
      <w:pPr>
        <w:spacing w:line="480" w:lineRule="auto"/>
        <w:jc w:val="both"/>
      </w:pPr>
      <w:r>
        <w:t>The patriarchal stories remain among the most practical parts of Scripture for daily life, whatever the debates about their historical setting.</w:t>
      </w:r>
    </w:p>
    <w:p w:rsidR="008E4B08" w:rsidRDefault="00C51EF0">
      <w:pPr>
        <w:pStyle w:val="ListParagraph"/>
        <w:numPr>
          <w:ilvl w:val="0"/>
          <w:numId w:val="2"/>
        </w:numPr>
        <w:spacing w:line="480" w:lineRule="auto"/>
        <w:jc w:val="both"/>
      </w:pPr>
      <w:r>
        <w:rPr>
          <w:b/>
          <w:bCs/>
        </w:rPr>
        <w:t>Faith means going without seeing the end.</w:t>
      </w:r>
      <w:r>
        <w:t xml:space="preserve"> Abraham left his country without knowing where he was going (</w:t>
      </w:r>
      <w:proofErr w:type="spellStart"/>
      <w:r>
        <w:t>Heb</w:t>
      </w:r>
      <w:proofErr w:type="spellEnd"/>
      <w:r>
        <w:t xml:space="preserve"> 11:8). Every believer is called to trust God's promise when the way ahead is unclear.</w:t>
      </w:r>
    </w:p>
    <w:p w:rsidR="008E4B08" w:rsidRDefault="00C51EF0">
      <w:pPr>
        <w:pStyle w:val="ListParagraph"/>
        <w:numPr>
          <w:ilvl w:val="0"/>
          <w:numId w:val="2"/>
        </w:numPr>
        <w:spacing w:line="480" w:lineRule="auto"/>
        <w:jc w:val="both"/>
      </w:pPr>
      <w:r>
        <w:rPr>
          <w:b/>
          <w:bCs/>
        </w:rPr>
        <w:t>God works through imperfect families.</w:t>
      </w:r>
      <w:r>
        <w:t xml:space="preserve"> The patriarchs' families were marked by rivalry, deception, </w:t>
      </w:r>
      <w:proofErr w:type="spellStart"/>
      <w:r>
        <w:t>favouritism</w:t>
      </w:r>
      <w:proofErr w:type="spellEnd"/>
      <w:r>
        <w:t xml:space="preserve"> and polygamy. Yet God remained faithful. Families in our churches can take hope that God's grace is greater than their failures.</w:t>
      </w:r>
    </w:p>
    <w:p w:rsidR="008E4B08" w:rsidRDefault="00C51EF0">
      <w:pPr>
        <w:pStyle w:val="ListParagraph"/>
        <w:numPr>
          <w:ilvl w:val="0"/>
          <w:numId w:val="2"/>
        </w:numPr>
        <w:spacing w:line="480" w:lineRule="auto"/>
        <w:jc w:val="both"/>
      </w:pPr>
      <w:r>
        <w:rPr>
          <w:b/>
          <w:bCs/>
        </w:rPr>
        <w:t>Memory must be guarded.</w:t>
      </w:r>
      <w:r>
        <w:t xml:space="preserve"> The faith of Israel was passed down by careful remembering. Christian parents and leaders must faithfully tell the next generation about the works of God (Ps 78:4).</w:t>
      </w:r>
    </w:p>
    <w:p w:rsidR="008E4B08" w:rsidRDefault="00C51EF0">
      <w:pPr>
        <w:pStyle w:val="ListParagraph"/>
        <w:numPr>
          <w:ilvl w:val="0"/>
          <w:numId w:val="2"/>
        </w:numPr>
        <w:spacing w:line="480" w:lineRule="auto"/>
        <w:jc w:val="both"/>
      </w:pPr>
      <w:r>
        <w:rPr>
          <w:b/>
          <w:bCs/>
        </w:rPr>
        <w:t>Suffering can serve God's purpose.</w:t>
      </w:r>
      <w:r>
        <w:t xml:space="preserve"> Joseph's journey from the pit to the palace teaches that God can turn evil into good (Gen 50:20). Those suffering injustice can trust that God has not forgotten them.</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 xml:space="preserve">God of Abraham, Isaac and Jacob, thank you for your faithfulness to imperfect people. Give me faith to follow you when I cannot see the way, grace to heal my family's </w:t>
      </w:r>
      <w:r>
        <w:rPr>
          <w:i/>
          <w:iCs/>
        </w:rPr>
        <w:lastRenderedPageBreak/>
        <w:t>wounds, and the patience of Joseph in times of injustice. Help me to pass on your story faithfully to those who come after me. In Jesus' name. Amen.</w:t>
      </w:r>
    </w:p>
    <w:p w:rsidR="008E4B08" w:rsidRDefault="00C51EF0">
      <w:pPr>
        <w:pStyle w:val="Heading2"/>
        <w:keepNext/>
        <w:spacing w:before="240" w:after="120" w:line="360" w:lineRule="auto"/>
      </w:pPr>
      <w:bookmarkStart w:id="89" w:name="_Toc241908450"/>
      <w:r>
        <w:t>6.11 Discussion Questions</w:t>
      </w:r>
      <w:bookmarkEnd w:id="89"/>
    </w:p>
    <w:p w:rsidR="008E4B08" w:rsidRDefault="00C51EF0">
      <w:pPr>
        <w:tabs>
          <w:tab w:val="left" w:pos="720"/>
        </w:tabs>
        <w:spacing w:line="480" w:lineRule="auto"/>
        <w:ind w:left="720" w:hanging="360"/>
        <w:jc w:val="both"/>
      </w:pPr>
      <w:r>
        <w:t>1.</w:t>
      </w:r>
      <w:r>
        <w:tab/>
        <w:t>Why did the Albright view of the patriarchs collapse? Was the collapse complete?</w:t>
      </w:r>
    </w:p>
    <w:p w:rsidR="008E4B08" w:rsidRDefault="00C51EF0">
      <w:pPr>
        <w:tabs>
          <w:tab w:val="left" w:pos="720"/>
        </w:tabs>
        <w:spacing w:line="480" w:lineRule="auto"/>
        <w:ind w:left="720" w:hanging="360"/>
        <w:jc w:val="both"/>
      </w:pPr>
      <w:r>
        <w:t>2.</w:t>
      </w:r>
      <w:r>
        <w:tab/>
        <w:t>Evaluate the importance of the camel debate for the historical reliability of Genesis.</w:t>
      </w:r>
    </w:p>
    <w:p w:rsidR="008E4B08" w:rsidRDefault="00C51EF0">
      <w:pPr>
        <w:tabs>
          <w:tab w:val="left" w:pos="720"/>
        </w:tabs>
        <w:spacing w:line="480" w:lineRule="auto"/>
        <w:ind w:left="720" w:hanging="360"/>
        <w:jc w:val="both"/>
      </w:pPr>
      <w:r>
        <w:t>3.</w:t>
      </w:r>
      <w:r>
        <w:tab/>
        <w:t>How should features such as "Ur of the Chaldeans" be understood?</w:t>
      </w:r>
    </w:p>
    <w:p w:rsidR="008E4B08" w:rsidRDefault="00C51EF0">
      <w:pPr>
        <w:tabs>
          <w:tab w:val="left" w:pos="720"/>
        </w:tabs>
        <w:spacing w:line="480" w:lineRule="auto"/>
        <w:ind w:left="720" w:hanging="360"/>
        <w:jc w:val="both"/>
      </w:pPr>
      <w:r>
        <w:t>4.</w:t>
      </w:r>
      <w:r>
        <w:tab/>
        <w:t>What can the study of African oral tradition contribute to the debate on the patriarchal stories?</w:t>
      </w:r>
    </w:p>
    <w:p w:rsidR="008E4B08" w:rsidRDefault="00C51EF0">
      <w:pPr>
        <w:pStyle w:val="Heading2"/>
        <w:keepNext/>
        <w:spacing w:before="240" w:after="120" w:line="360" w:lineRule="auto"/>
      </w:pPr>
      <w:bookmarkStart w:id="90" w:name="_Toc241908451"/>
      <w:r>
        <w:t>6.12 Further Reading</w:t>
      </w:r>
      <w:bookmarkEnd w:id="90"/>
    </w:p>
    <w:p w:rsidR="008E4B08" w:rsidRDefault="00C51EF0">
      <w:pPr>
        <w:spacing w:after="160"/>
        <w:ind w:left="720" w:hanging="720"/>
      </w:pPr>
      <w:proofErr w:type="spellStart"/>
      <w:r>
        <w:t>Hoffmeier</w:t>
      </w:r>
      <w:proofErr w:type="spellEnd"/>
      <w:r>
        <w:t xml:space="preserve">, James K. </w:t>
      </w:r>
      <w:r>
        <w:rPr>
          <w:i/>
          <w:iCs/>
        </w:rPr>
        <w:t>Israel in Egypt</w:t>
      </w:r>
      <w:r>
        <w:t>. New York: Oxford University Press, 1997.</w:t>
      </w:r>
    </w:p>
    <w:p w:rsidR="008E4B08" w:rsidRDefault="00C51EF0">
      <w:pPr>
        <w:spacing w:after="160"/>
        <w:ind w:left="720" w:hanging="720"/>
      </w:pPr>
      <w:r>
        <w:t xml:space="preserve">Millard, A. R., and D. J. Wiseman, eds. </w:t>
      </w:r>
      <w:r>
        <w:rPr>
          <w:i/>
          <w:iCs/>
        </w:rPr>
        <w:t>Essays on the Patriarchal Narratives</w:t>
      </w:r>
      <w:r>
        <w:t>. Leicester: Inter-Varsity Press, 1980.</w:t>
      </w:r>
    </w:p>
    <w:p w:rsidR="008E4B08" w:rsidRDefault="00C51EF0">
      <w:pPr>
        <w:spacing w:after="160"/>
        <w:ind w:left="720" w:hanging="720"/>
      </w:pPr>
      <w:r>
        <w:t xml:space="preserve">Thompson, Thomas L. </w:t>
      </w:r>
      <w:r>
        <w:rPr>
          <w:i/>
          <w:iCs/>
        </w:rPr>
        <w:t>The Historicity of the Patriarchal Narratives</w:t>
      </w:r>
      <w:r>
        <w:t xml:space="preserve">. Berlin: de </w:t>
      </w:r>
      <w:proofErr w:type="spellStart"/>
      <w:r>
        <w:t>Gruyter</w:t>
      </w:r>
      <w:proofErr w:type="spellEnd"/>
      <w:r>
        <w:t>, 1974.</w:t>
      </w:r>
    </w:p>
    <w:p w:rsidR="008E4B08" w:rsidRDefault="00C51EF0">
      <w:pPr>
        <w:pStyle w:val="Heading1"/>
        <w:pageBreakBefore/>
        <w:spacing w:after="360" w:line="360" w:lineRule="auto"/>
        <w:jc w:val="center"/>
      </w:pPr>
      <w:bookmarkStart w:id="91" w:name="_Toc241908452"/>
      <w:r>
        <w:lastRenderedPageBreak/>
        <w:t>UNIT SEVEN: THE EXODUS AND THE SETTLEMENT IN CANAAN</w:t>
      </w:r>
      <w:bookmarkEnd w:id="91"/>
    </w:p>
    <w:p w:rsidR="008E4B08" w:rsidRDefault="00C51EF0">
      <w:pPr>
        <w:pStyle w:val="Heading2"/>
        <w:keepNext/>
        <w:spacing w:before="240" w:after="120" w:line="360" w:lineRule="auto"/>
      </w:pPr>
      <w:bookmarkStart w:id="92" w:name="_Toc241908453"/>
      <w:r>
        <w:t>7.1 Introduction</w:t>
      </w:r>
      <w:bookmarkEnd w:id="92"/>
    </w:p>
    <w:p w:rsidR="008E4B08" w:rsidRDefault="00C51EF0">
      <w:pPr>
        <w:spacing w:line="480" w:lineRule="auto"/>
        <w:jc w:val="both"/>
      </w:pPr>
      <w:r>
        <w:t>The exodus from Egypt is the central saving event of the Old Testament. Israel remembered it in its creeds (</w:t>
      </w:r>
      <w:proofErr w:type="spellStart"/>
      <w:r>
        <w:t>Deut</w:t>
      </w:r>
      <w:proofErr w:type="spellEnd"/>
      <w:r>
        <w:t xml:space="preserve"> 26:5–9), feasts, psalms and prophets, and the New Testament uses its language to speak of redemption in Christ, "our Passover lamb" (1 </w:t>
      </w:r>
      <w:proofErr w:type="spellStart"/>
      <w:r>
        <w:t>Cor</w:t>
      </w:r>
      <w:proofErr w:type="spellEnd"/>
      <w:r>
        <w:t xml:space="preserve"> 5:7). The settlement of Israel in Canaan, told in Joshua and Judges, completes the story. Yet these events are among the most debated in biblical archaeology. This unit examines the evidence for Israel in Egypt, the date of the exodus, the archaeology of the main conquest sites and the different explanations of how Israel came to live in Canaan.</w:t>
      </w:r>
    </w:p>
    <w:p w:rsidR="008E4B08" w:rsidRDefault="00C51EF0">
      <w:pPr>
        <w:pStyle w:val="Heading2"/>
        <w:keepNext/>
        <w:spacing w:before="240" w:after="120" w:line="360" w:lineRule="auto"/>
      </w:pPr>
      <w:bookmarkStart w:id="93" w:name="_Toc241908454"/>
      <w:r>
        <w:t>7.2 Learning Objectives</w:t>
      </w:r>
      <w:bookmarkEnd w:id="93"/>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assess the Egyptian evidence related to the exodus;</w:t>
      </w:r>
    </w:p>
    <w:p w:rsidR="008E4B08" w:rsidRDefault="00C51EF0">
      <w:pPr>
        <w:pStyle w:val="ListParagraph"/>
        <w:numPr>
          <w:ilvl w:val="0"/>
          <w:numId w:val="2"/>
        </w:numPr>
        <w:spacing w:line="480" w:lineRule="auto"/>
        <w:jc w:val="both"/>
      </w:pPr>
      <w:r>
        <w:t>compare the early and late dates for the exodus;</w:t>
      </w:r>
    </w:p>
    <w:p w:rsidR="008E4B08" w:rsidRDefault="00C51EF0">
      <w:pPr>
        <w:pStyle w:val="ListParagraph"/>
        <w:numPr>
          <w:ilvl w:val="0"/>
          <w:numId w:val="2"/>
        </w:numPr>
        <w:spacing w:line="480" w:lineRule="auto"/>
        <w:jc w:val="both"/>
      </w:pPr>
      <w:r>
        <w:t xml:space="preserve">evaluate the archaeological evidence from Jericho, Ai and </w:t>
      </w:r>
      <w:proofErr w:type="spellStart"/>
      <w:r>
        <w:t>Hazor</w:t>
      </w:r>
      <w:proofErr w:type="spellEnd"/>
      <w:r>
        <w:t>; and</w:t>
      </w:r>
    </w:p>
    <w:p w:rsidR="008E4B08" w:rsidRDefault="00C51EF0">
      <w:pPr>
        <w:pStyle w:val="ListParagraph"/>
        <w:numPr>
          <w:ilvl w:val="0"/>
          <w:numId w:val="2"/>
        </w:numPr>
        <w:spacing w:line="480" w:lineRule="auto"/>
        <w:jc w:val="both"/>
      </w:pPr>
      <w:proofErr w:type="gramStart"/>
      <w:r>
        <w:t>compare</w:t>
      </w:r>
      <w:proofErr w:type="gramEnd"/>
      <w:r>
        <w:t xml:space="preserve"> the main explanations of Israel's settlement in Canaan.</w:t>
      </w:r>
    </w:p>
    <w:p w:rsidR="008E4B08" w:rsidRDefault="00C51EF0">
      <w:pPr>
        <w:pStyle w:val="Heading2"/>
        <w:keepNext/>
        <w:spacing w:before="240" w:after="120" w:line="360" w:lineRule="auto"/>
      </w:pPr>
      <w:bookmarkStart w:id="94" w:name="_Toc241908455"/>
      <w:r>
        <w:t>7.3 Israel in Egypt</w:t>
      </w:r>
      <w:bookmarkEnd w:id="94"/>
    </w:p>
    <w:p w:rsidR="008E4B08" w:rsidRDefault="00C51EF0">
      <w:pPr>
        <w:spacing w:line="480" w:lineRule="auto"/>
        <w:jc w:val="both"/>
      </w:pPr>
      <w:r>
        <w:t>No Egyptian text mentions the Israelites in Egypt, the plagues or the exodus. Some people take this silence as evidence against the story. But the silence must be understood. Egyptian royal inscriptions were propaganda that celebrated the pharaoh's victories. They did not record defeats or the escape of slaves. Also, the eastern Nile Delta, where Israel lived, is wet and marshy, and papyrus documents and mud-brick buildings rarely survive there.</w:t>
      </w:r>
    </w:p>
    <w:p w:rsidR="008E4B08" w:rsidRDefault="00C51EF0">
      <w:pPr>
        <w:spacing w:line="480" w:lineRule="auto"/>
        <w:ind w:firstLine="720"/>
        <w:jc w:val="both"/>
      </w:pPr>
      <w:r>
        <w:rPr>
          <w:b/>
          <w:bCs/>
        </w:rPr>
        <w:t>Example.</w:t>
      </w:r>
      <w:r>
        <w:t xml:space="preserve"> Governments rarely publish records of their own embarrassments. A ruler whose prisoners escaped in large numbers would not carve the story on a monument. In the same way, we should not expect Egyptian kings to record the escape of the Israelites.</w:t>
      </w:r>
    </w:p>
    <w:p w:rsidR="008E4B08" w:rsidRDefault="00C51EF0">
      <w:pPr>
        <w:spacing w:line="480" w:lineRule="auto"/>
        <w:ind w:firstLine="720"/>
        <w:jc w:val="both"/>
      </w:pPr>
      <w:r>
        <w:lastRenderedPageBreak/>
        <w:t>Several kinds of evidence show that the exodus story fits its Egyptian setting:</w:t>
      </w:r>
    </w:p>
    <w:p w:rsidR="008E4B08" w:rsidRDefault="00C51EF0">
      <w:pPr>
        <w:pStyle w:val="ListParagraph"/>
        <w:numPr>
          <w:ilvl w:val="0"/>
          <w:numId w:val="2"/>
        </w:numPr>
        <w:spacing w:line="480" w:lineRule="auto"/>
        <w:jc w:val="both"/>
      </w:pPr>
      <w:r>
        <w:t>Large numbers of Semitic people lived in the eastern Delta in the Middle Bronze Age and the New Kingdom, as shown at Tell el-</w:t>
      </w:r>
      <w:proofErr w:type="spellStart"/>
      <w:r>
        <w:t>Dab'a</w:t>
      </w:r>
      <w:proofErr w:type="spellEnd"/>
      <w:r>
        <w:t>.</w:t>
      </w:r>
    </w:p>
    <w:p w:rsidR="008E4B08" w:rsidRDefault="00C51EF0">
      <w:pPr>
        <w:pStyle w:val="ListParagraph"/>
        <w:numPr>
          <w:ilvl w:val="0"/>
          <w:numId w:val="2"/>
        </w:numPr>
        <w:spacing w:line="480" w:lineRule="auto"/>
        <w:jc w:val="both"/>
      </w:pPr>
      <w:r>
        <w:t xml:space="preserve">Egyptian texts record the use of foreign workers, including people called </w:t>
      </w:r>
      <w:proofErr w:type="spellStart"/>
      <w:r>
        <w:t>ʿApiru</w:t>
      </w:r>
      <w:proofErr w:type="spellEnd"/>
      <w:r>
        <w:t xml:space="preserve">, on building projects, and the use of straw in making bricks (compare </w:t>
      </w:r>
      <w:proofErr w:type="spellStart"/>
      <w:r>
        <w:t>Exod</w:t>
      </w:r>
      <w:proofErr w:type="spellEnd"/>
      <w:r>
        <w:t xml:space="preserve"> 5).</w:t>
      </w:r>
    </w:p>
    <w:p w:rsidR="008E4B08" w:rsidRDefault="00C51EF0">
      <w:pPr>
        <w:pStyle w:val="ListParagraph"/>
        <w:numPr>
          <w:ilvl w:val="0"/>
          <w:numId w:val="2"/>
        </w:numPr>
        <w:spacing w:line="480" w:lineRule="auto"/>
        <w:jc w:val="both"/>
      </w:pPr>
      <w:r>
        <w:t xml:space="preserve">The city of Pi-Ramesses (biblical Rameses, </w:t>
      </w:r>
      <w:proofErr w:type="spellStart"/>
      <w:r>
        <w:t>Exod</w:t>
      </w:r>
      <w:proofErr w:type="spellEnd"/>
      <w:r>
        <w:t xml:space="preserve"> 1:11) was built by Ramesses II in the thirteenth century BC near Tell el-</w:t>
      </w:r>
      <w:proofErr w:type="spellStart"/>
      <w:r>
        <w:t>Dab'a</w:t>
      </w:r>
      <w:proofErr w:type="spellEnd"/>
      <w:r>
        <w:t>.</w:t>
      </w:r>
    </w:p>
    <w:p w:rsidR="008E4B08" w:rsidRDefault="00C51EF0">
      <w:pPr>
        <w:pStyle w:val="ListParagraph"/>
        <w:numPr>
          <w:ilvl w:val="0"/>
          <w:numId w:val="2"/>
        </w:numPr>
        <w:spacing w:line="480" w:lineRule="auto"/>
        <w:jc w:val="both"/>
      </w:pPr>
      <w:r>
        <w:t xml:space="preserve">Several names in the exodus story, including Moses, Phinehas and </w:t>
      </w:r>
      <w:proofErr w:type="spellStart"/>
      <w:r>
        <w:t>Hophni</w:t>
      </w:r>
      <w:proofErr w:type="spellEnd"/>
      <w:r>
        <w:t>, are Egyptian in origin.</w:t>
      </w:r>
    </w:p>
    <w:p w:rsidR="008E4B08" w:rsidRDefault="00C51EF0">
      <w:pPr>
        <w:pStyle w:val="ListParagraph"/>
        <w:numPr>
          <w:ilvl w:val="0"/>
          <w:numId w:val="2"/>
        </w:numPr>
        <w:spacing w:line="480" w:lineRule="auto"/>
        <w:jc w:val="both"/>
      </w:pPr>
      <w:r>
        <w:t>Egyptian border reports record shepherd groups from Edom passing the frontier forts into the Delta.</w:t>
      </w:r>
    </w:p>
    <w:p w:rsidR="008E4B08" w:rsidRDefault="00C51EF0">
      <w:pPr>
        <w:spacing w:line="480" w:lineRule="auto"/>
        <w:ind w:firstLine="720"/>
        <w:jc w:val="both"/>
      </w:pPr>
      <w:r>
        <w:t xml:space="preserve">James </w:t>
      </w:r>
      <w:proofErr w:type="spellStart"/>
      <w:r>
        <w:t>Hoffmeier</w:t>
      </w:r>
      <w:proofErr w:type="spellEnd"/>
      <w:r>
        <w:t xml:space="preserve"> argues that these features, together with the geography of the Delta and Sinai, make the exodus story believable within the period of the New Kingdom.</w:t>
      </w:r>
      <w:r>
        <w:rPr>
          <w:vertAlign w:val="superscript"/>
        </w:rPr>
        <w:t>41</w:t>
      </w:r>
      <w:r>
        <w:t xml:space="preserve"> Critics reply that being believable is not the same as being proven, and that the large numbers in the Bible (600,000 men, </w:t>
      </w:r>
      <w:proofErr w:type="spellStart"/>
      <w:r>
        <w:t>Exod</w:t>
      </w:r>
      <w:proofErr w:type="spellEnd"/>
      <w:r>
        <w:t xml:space="preserve"> 12:37) are hard to fit with any archaeological evidence. Some evangelical scholars suggest that the Hebrew word </w:t>
      </w:r>
      <w:proofErr w:type="spellStart"/>
      <w:r>
        <w:rPr>
          <w:i/>
          <w:iCs/>
        </w:rPr>
        <w:t>ʾelep</w:t>
      </w:r>
      <w:proofErr w:type="spellEnd"/>
      <w:r>
        <w:t>, usually translated "thousand", may sometimes mean a military unit or clan, which would make the numbers much smaller.</w:t>
      </w:r>
    </w:p>
    <w:p w:rsidR="008E4B08" w:rsidRDefault="00C51EF0">
      <w:pPr>
        <w:pStyle w:val="Heading2"/>
        <w:keepNext/>
        <w:spacing w:before="240" w:after="120" w:line="360" w:lineRule="auto"/>
      </w:pPr>
      <w:bookmarkStart w:id="95" w:name="_Toc241908456"/>
      <w:r>
        <w:t xml:space="preserve">7.4 The </w:t>
      </w:r>
      <w:proofErr w:type="spellStart"/>
      <w:r>
        <w:t>Merneptah</w:t>
      </w:r>
      <w:proofErr w:type="spellEnd"/>
      <w:r>
        <w:t xml:space="preserve"> Stele</w:t>
      </w:r>
      <w:bookmarkEnd w:id="95"/>
    </w:p>
    <w:p w:rsidR="008E4B08" w:rsidRDefault="00C51EF0">
      <w:pPr>
        <w:spacing w:line="480" w:lineRule="auto"/>
        <w:jc w:val="both"/>
      </w:pPr>
      <w:r>
        <w:t xml:space="preserve">The earliest mention of Israel outside the Bible is on a large granite stone set up by Pharaoh </w:t>
      </w:r>
      <w:proofErr w:type="spellStart"/>
      <w:r>
        <w:t>Merneptah</w:t>
      </w:r>
      <w:proofErr w:type="spellEnd"/>
      <w:r>
        <w:t xml:space="preserve">, the son of Ramesses II, in about 1208 BC. Flinders Petrie discovered it at Thebes in 1896. The stone celebrates </w:t>
      </w:r>
      <w:proofErr w:type="spellStart"/>
      <w:r>
        <w:t>Merneptah's</w:t>
      </w:r>
      <w:proofErr w:type="spellEnd"/>
      <w:r>
        <w:t xml:space="preserve"> victories and includes a short poem about a campaign in Canaan. It names Ashkelon, Gezer and </w:t>
      </w:r>
      <w:proofErr w:type="spellStart"/>
      <w:r>
        <w:t>Yenoam</w:t>
      </w:r>
      <w:proofErr w:type="spellEnd"/>
      <w:r>
        <w:t>, and then says, "Israel is laid waste; his seed is not."</w:t>
      </w:r>
    </w:p>
    <w:p w:rsidR="008E4B08" w:rsidRDefault="00C51EF0">
      <w:pPr>
        <w:spacing w:line="480" w:lineRule="auto"/>
        <w:ind w:firstLine="720"/>
        <w:jc w:val="both"/>
      </w:pPr>
      <w:r>
        <w:t xml:space="preserve">The importance of this reference lies in a small detail of the writing. Egyptian hieroglyphs used a silent sign, called a determinative, to show what kind of word was being </w:t>
      </w:r>
      <w:r>
        <w:lastRenderedPageBreak/>
        <w:t xml:space="preserve">written. Ashkelon, Gezer and </w:t>
      </w:r>
      <w:proofErr w:type="spellStart"/>
      <w:r>
        <w:t>Yenoam</w:t>
      </w:r>
      <w:proofErr w:type="spellEnd"/>
      <w:r>
        <w:t xml:space="preserve"> are written with the sign for a city or land. Israel is written with the sign for a people. This suggests that by the late thirteenth century BC Israel was a recognised people living in Canaan, important enough to be named among Egypt's enemies, but not yet a settled kingdom with defined borders.</w:t>
      </w:r>
      <w:r>
        <w:rPr>
          <w:vertAlign w:val="superscript"/>
        </w:rPr>
        <w:t>42</w:t>
      </w:r>
      <w:r>
        <w:t xml:space="preserve"> </w:t>
      </w:r>
      <w:proofErr w:type="gramStart"/>
      <w:r>
        <w:t>The</w:t>
      </w:r>
      <w:proofErr w:type="gramEnd"/>
      <w:r>
        <w:t xml:space="preserve"> stele therefore gives a fixed point: by about 1208 BC Israel was in Canaan.</w:t>
      </w:r>
    </w:p>
    <w:p w:rsidR="008E4B08" w:rsidRDefault="00C51EF0">
      <w:pPr>
        <w:pStyle w:val="Heading2"/>
        <w:keepNext/>
        <w:spacing w:before="240" w:after="120" w:line="360" w:lineRule="auto"/>
      </w:pPr>
      <w:bookmarkStart w:id="96" w:name="_Toc241908457"/>
      <w:r>
        <w:t>7.5 The Date of the Exodus</w:t>
      </w:r>
      <w:bookmarkEnd w:id="96"/>
    </w:p>
    <w:p w:rsidR="008E4B08" w:rsidRDefault="00C51EF0">
      <w:pPr>
        <w:spacing w:line="480" w:lineRule="auto"/>
        <w:jc w:val="both"/>
      </w:pPr>
      <w:r>
        <w:t>There are two main views on the date of the exodus.</w:t>
      </w:r>
    </w:p>
    <w:p w:rsidR="008E4B08" w:rsidRDefault="00C51EF0">
      <w:pPr>
        <w:pStyle w:val="Heading3"/>
        <w:keepNext/>
        <w:spacing w:before="120" w:after="60" w:line="360" w:lineRule="auto"/>
      </w:pPr>
      <w:r>
        <w:t>7.5.1 The Early Date (about 1446 BC)</w:t>
      </w:r>
    </w:p>
    <w:p w:rsidR="008E4B08" w:rsidRDefault="00C51EF0">
      <w:pPr>
        <w:spacing w:line="480" w:lineRule="auto"/>
        <w:jc w:val="both"/>
      </w:pPr>
      <w:r>
        <w:t xml:space="preserve">The early date comes from 1 Kings 6:1, which says that Solomon began to build the temple in the 480th year after the exodus, in the fourth year of his reign. Since Solomon's fourth year is usually dated to about 966 BC, the exodus would be about 1446 BC. Judges 11:26, where Jephthah speaks of 300 years of Israelite life east of the Jordan, is also cited in support. Supporters of the early date, such as Bryant Wood and John </w:t>
      </w:r>
      <w:proofErr w:type="spellStart"/>
      <w:r>
        <w:t>Bimson</w:t>
      </w:r>
      <w:proofErr w:type="spellEnd"/>
      <w:r>
        <w:t>, argue that the destruction of Jericho and other cities, usually dated to about 1550 BC, should be moved to the late fifteenth century and linked with Joshua.</w:t>
      </w:r>
      <w:r>
        <w:rPr>
          <w:vertAlign w:val="superscript"/>
        </w:rPr>
        <w:t>43</w:t>
      </w:r>
    </w:p>
    <w:p w:rsidR="008E4B08" w:rsidRDefault="00C51EF0">
      <w:pPr>
        <w:pStyle w:val="Heading3"/>
        <w:keepNext/>
        <w:spacing w:before="120" w:after="60" w:line="360" w:lineRule="auto"/>
      </w:pPr>
      <w:r>
        <w:t>7.5.2 The Late Date (about 1270–1250 BC)</w:t>
      </w:r>
    </w:p>
    <w:p w:rsidR="008E4B08" w:rsidRDefault="00C51EF0">
      <w:pPr>
        <w:spacing w:line="480" w:lineRule="auto"/>
        <w:jc w:val="both"/>
      </w:pPr>
      <w:r>
        <w:t xml:space="preserve">The late date, preferred by most archaeologists and by many evangelical scholars including Kitchen and </w:t>
      </w:r>
      <w:proofErr w:type="spellStart"/>
      <w:r>
        <w:t>Hoffmeier</w:t>
      </w:r>
      <w:proofErr w:type="spellEnd"/>
      <w:r>
        <w:t xml:space="preserve">, places the exodus in the reign of Ramesses II. It rests on the mention of the city of Rameses in Exodus 1:11, on the lack of evidence for a large Israelite presence in Canaan before about 1200 BC, and on the destruction of several Canaanite cities, especially </w:t>
      </w:r>
      <w:proofErr w:type="spellStart"/>
      <w:r>
        <w:t>Hazor</w:t>
      </w:r>
      <w:proofErr w:type="spellEnd"/>
      <w:r>
        <w:t>, in the thirteenth century BC. Supporters of the late date understand the "480 years" of 1 Kings 6:1 as a symbolic figure, perhaps twelve generations of forty years each, rather than an exact count.</w:t>
      </w:r>
    </w:p>
    <w:p w:rsidR="008E4B08" w:rsidRDefault="00C51EF0">
      <w:pPr>
        <w:spacing w:line="480" w:lineRule="auto"/>
        <w:ind w:firstLine="720"/>
        <w:jc w:val="both"/>
      </w:pPr>
      <w:r>
        <w:t xml:space="preserve">Both views have difficulties. The early date must explain the name Rameses and the archaeological picture of the Late Bronze Age. The late date must explain 1 Kings 6:1 and must </w:t>
      </w:r>
      <w:r>
        <w:lastRenderedPageBreak/>
        <w:t xml:space="preserve">fit the exodus, the wilderness years and the settlement into a short time before the </w:t>
      </w:r>
      <w:proofErr w:type="spellStart"/>
      <w:r>
        <w:t>Merneptah</w:t>
      </w:r>
      <w:proofErr w:type="spellEnd"/>
      <w:r>
        <w:t xml:space="preserve"> Stele. Students should be able to explain both views fairly.</w:t>
      </w:r>
    </w:p>
    <w:p w:rsidR="008E4B08" w:rsidRDefault="00C51EF0">
      <w:pPr>
        <w:spacing w:line="480" w:lineRule="auto"/>
        <w:ind w:firstLine="720"/>
        <w:jc w:val="both"/>
      </w:pPr>
      <w:r>
        <w:rPr>
          <w:b/>
          <w:bCs/>
        </w:rPr>
        <w:t>Example.</w:t>
      </w:r>
      <w:r>
        <w:t xml:space="preserve"> In many African cultures, people speak of "forty days" or "forty years" to mean a full or complete period rather than an exact count. The Bible also uses forty as a round number for a generation (</w:t>
      </w:r>
      <w:proofErr w:type="spellStart"/>
      <w:r>
        <w:t>Num</w:t>
      </w:r>
      <w:proofErr w:type="spellEnd"/>
      <w:r>
        <w:t xml:space="preserve"> 32:13). This helps us see why some scholars read "480 years" as twelve generations rather than an exact calculation.</w:t>
      </w:r>
    </w:p>
    <w:p w:rsidR="008E4B08" w:rsidRDefault="00C51EF0">
      <w:pPr>
        <w:pStyle w:val="Heading2"/>
        <w:keepNext/>
        <w:spacing w:before="240" w:after="120" w:line="360" w:lineRule="auto"/>
      </w:pPr>
      <w:bookmarkStart w:id="97" w:name="_Toc241908458"/>
      <w:r>
        <w:t>7.6 The Archaeology of the Conquest Sites</w:t>
      </w:r>
      <w:bookmarkEnd w:id="97"/>
    </w:p>
    <w:p w:rsidR="008E4B08" w:rsidRDefault="00C51EF0">
      <w:pPr>
        <w:pStyle w:val="Heading3"/>
        <w:keepNext/>
        <w:spacing w:before="120" w:after="60" w:line="360" w:lineRule="auto"/>
      </w:pPr>
      <w:r>
        <w:t>7.6.1 Jericho</w:t>
      </w:r>
    </w:p>
    <w:p w:rsidR="008E4B08" w:rsidRDefault="00C51EF0">
      <w:pPr>
        <w:spacing w:line="480" w:lineRule="auto"/>
        <w:jc w:val="both"/>
      </w:pPr>
      <w:r>
        <w:t xml:space="preserve">Jericho (Tell </w:t>
      </w:r>
      <w:proofErr w:type="spellStart"/>
      <w:r>
        <w:t>es</w:t>
      </w:r>
      <w:proofErr w:type="spellEnd"/>
      <w:r>
        <w:t xml:space="preserve">-Sultan) is one of the oldest towns in the world and has been excavated several times. In the 1930s John </w:t>
      </w:r>
      <w:proofErr w:type="spellStart"/>
      <w:r>
        <w:t>Garstang</w:t>
      </w:r>
      <w:proofErr w:type="spellEnd"/>
      <w:r>
        <w:t xml:space="preserve"> found fallen walls and a burnt city, which he dated to about 1400 BC. This seemed to confirm the early date of the conquest.</w:t>
      </w:r>
      <w:r>
        <w:rPr>
          <w:vertAlign w:val="superscript"/>
        </w:rPr>
        <w:t>44</w:t>
      </w:r>
      <w:r>
        <w:t xml:space="preserve"> In the 1950s Kathleen Kenyon excavated again with better methods. She concluded that the walls </w:t>
      </w:r>
      <w:proofErr w:type="spellStart"/>
      <w:r>
        <w:t>Garstang</w:t>
      </w:r>
      <w:proofErr w:type="spellEnd"/>
      <w:r>
        <w:t xml:space="preserve"> had linked with Joshua were about a thousand years older, and that the last large city was destroyed in about 1550 BC. For the time of Joshua, on either date, she found only a few eroded remains.</w:t>
      </w:r>
      <w:r>
        <w:rPr>
          <w:vertAlign w:val="superscript"/>
        </w:rPr>
        <w:t>45</w:t>
      </w:r>
    </w:p>
    <w:p w:rsidR="008E4B08" w:rsidRDefault="00C51EF0">
      <w:pPr>
        <w:spacing w:line="480" w:lineRule="auto"/>
        <w:ind w:firstLine="720"/>
        <w:jc w:val="both"/>
      </w:pPr>
      <w:r>
        <w:t xml:space="preserve">In 1990 Bryant Wood re-examined </w:t>
      </w:r>
      <w:proofErr w:type="spellStart"/>
      <w:r>
        <w:t>Garstang's</w:t>
      </w:r>
      <w:proofErr w:type="spellEnd"/>
      <w:r>
        <w:t xml:space="preserve"> pottery and argued that the destruction should be dated to about 1400 BC after all. He noted features that recall the biblical story: the walls had collapsed, the city was burnt, </w:t>
      </w:r>
      <w:proofErr w:type="gramStart"/>
      <w:r>
        <w:t>large</w:t>
      </w:r>
      <w:proofErr w:type="gramEnd"/>
      <w:r>
        <w:t xml:space="preserve"> quantities of grain were found in storage jars (suggesting a short siege soon after harvest, compare Josh 2:6; 3:15) and the city had not been looted.</w:t>
      </w:r>
      <w:r>
        <w:rPr>
          <w:vertAlign w:val="superscript"/>
        </w:rPr>
        <w:t>46</w:t>
      </w:r>
      <w:r>
        <w:t xml:space="preserve"> Most archaeologists have rejected Wood's dating, partly because radiocarbon results support Kenyon. Wood maintained his position. Jericho therefore remains a disputed case.</w:t>
      </w:r>
    </w:p>
    <w:p w:rsidR="008E4B08" w:rsidRDefault="00C51EF0">
      <w:pPr>
        <w:pStyle w:val="Heading3"/>
        <w:keepNext/>
        <w:spacing w:before="120" w:after="60" w:line="360" w:lineRule="auto"/>
      </w:pPr>
      <w:r>
        <w:t>7.6.2 Ai</w:t>
      </w:r>
    </w:p>
    <w:p w:rsidR="008E4B08" w:rsidRDefault="00C51EF0">
      <w:pPr>
        <w:spacing w:line="480" w:lineRule="auto"/>
        <w:jc w:val="both"/>
      </w:pPr>
      <w:r>
        <w:t>As Unit Four explained, et-Tell, the site usually identified as Ai, was a large city in the Early Bronze Age but was empty from about 2400 BC until a small village was built there in Iron Age I. Joseph Callaway, who excavated it, concluded that the evidence could not be reconciled with the conquest story.</w:t>
      </w:r>
      <w:r>
        <w:rPr>
          <w:vertAlign w:val="superscript"/>
        </w:rPr>
        <w:t>47</w:t>
      </w:r>
      <w:r>
        <w:t xml:space="preserve"> Some scholars suggest that Ai was somewhere else. Bryant Wood </w:t>
      </w:r>
      <w:r>
        <w:lastRenderedPageBreak/>
        <w:t>and others excavated at Khirbet el-</w:t>
      </w:r>
      <w:proofErr w:type="spellStart"/>
      <w:r>
        <w:t>Maqatir</w:t>
      </w:r>
      <w:proofErr w:type="spellEnd"/>
      <w:r>
        <w:t xml:space="preserve">, about one </w:t>
      </w:r>
      <w:proofErr w:type="spellStart"/>
      <w:r>
        <w:t>kilometre</w:t>
      </w:r>
      <w:proofErr w:type="spellEnd"/>
      <w:r>
        <w:t xml:space="preserve"> away, and identified a small fortress of the Late Bronze Age that they believe fits Joshua 7–8. This identification is not widely accepted, but it shows that identifying a site is itself a matter of interpretation.</w:t>
      </w:r>
    </w:p>
    <w:p w:rsidR="008E4B08" w:rsidRDefault="00C51EF0">
      <w:pPr>
        <w:spacing w:line="480" w:lineRule="auto"/>
        <w:ind w:firstLine="720"/>
        <w:jc w:val="both"/>
      </w:pPr>
      <w:r>
        <w:rPr>
          <w:b/>
          <w:bCs/>
        </w:rPr>
        <w:t>Example.</w:t>
      </w:r>
      <w:r>
        <w:t xml:space="preserve"> If a researcher looked for an old village called "</w:t>
      </w:r>
      <w:proofErr w:type="spellStart"/>
      <w:r>
        <w:t>Ojo</w:t>
      </w:r>
      <w:proofErr w:type="spellEnd"/>
      <w:r>
        <w:t>" and dug at the wrong hill, he might wrongly conclude that the village never existed. Before deciding that the Bible and archaeology disagree, we must first be sure that we are digging in the right place.</w:t>
      </w:r>
    </w:p>
    <w:p w:rsidR="008E4B08" w:rsidRDefault="00C51EF0">
      <w:pPr>
        <w:pStyle w:val="Heading3"/>
        <w:keepNext/>
        <w:spacing w:before="120" w:after="60" w:line="360" w:lineRule="auto"/>
      </w:pPr>
      <w:r>
        <w:t xml:space="preserve">7.6.3 </w:t>
      </w:r>
      <w:proofErr w:type="spellStart"/>
      <w:r>
        <w:t>Hazor</w:t>
      </w:r>
      <w:proofErr w:type="spellEnd"/>
    </w:p>
    <w:p w:rsidR="008E4B08" w:rsidRDefault="00C51EF0">
      <w:pPr>
        <w:spacing w:line="480" w:lineRule="auto"/>
        <w:jc w:val="both"/>
      </w:pPr>
      <w:proofErr w:type="spellStart"/>
      <w:r>
        <w:t>Hazor</w:t>
      </w:r>
      <w:proofErr w:type="spellEnd"/>
      <w:r>
        <w:t xml:space="preserve"> in Upper Galilee was the largest city in Canaan in the second millennium BC, just as Joshua 11:10 says: "</w:t>
      </w:r>
      <w:proofErr w:type="spellStart"/>
      <w:r>
        <w:t>Hazor</w:t>
      </w:r>
      <w:proofErr w:type="spellEnd"/>
      <w:r>
        <w:t xml:space="preserve"> formerly was the head of all those kingdoms." </w:t>
      </w:r>
      <w:proofErr w:type="spellStart"/>
      <w:r>
        <w:t>Yigael</w:t>
      </w:r>
      <w:proofErr w:type="spellEnd"/>
      <w:r>
        <w:t xml:space="preserve"> </w:t>
      </w:r>
      <w:proofErr w:type="spellStart"/>
      <w:r>
        <w:t>Yadin</w:t>
      </w:r>
      <w:proofErr w:type="spellEnd"/>
      <w:r>
        <w:t xml:space="preserve"> in the 1950s and </w:t>
      </w:r>
      <w:proofErr w:type="spellStart"/>
      <w:r>
        <w:t>Amnon</w:t>
      </w:r>
      <w:proofErr w:type="spellEnd"/>
      <w:r>
        <w:t xml:space="preserve"> Ben-Tor from 1990 found that the Late Bronze Age city was destroyed by a great fire in the thirteenth century BC. Statues of Canaanite and Egyptian gods and kings had been deliberately broken and their heads cut off. Ben-Tor argues that neither the Egyptians nor the Sea Peoples would have treated these statues in this way, and that the Israelites were the most likely destroyers, as Joshua 11:10–13 describes.</w:t>
      </w:r>
      <w:r>
        <w:rPr>
          <w:vertAlign w:val="superscript"/>
        </w:rPr>
        <w:t>48</w:t>
      </w:r>
      <w:r>
        <w:t xml:space="preserve"> </w:t>
      </w:r>
      <w:proofErr w:type="gramStart"/>
      <w:r>
        <w:t>Other</w:t>
      </w:r>
      <w:proofErr w:type="gramEnd"/>
      <w:r>
        <w:t xml:space="preserve"> scholars think the city was destroyed by an internal revolt or by rival Canaanites. </w:t>
      </w:r>
      <w:proofErr w:type="spellStart"/>
      <w:r>
        <w:t>Hazor</w:t>
      </w:r>
      <w:proofErr w:type="spellEnd"/>
      <w:r>
        <w:t xml:space="preserve"> is the strongest archaeological case for an Israelite conquest, at least on the late date.</w:t>
      </w:r>
    </w:p>
    <w:p w:rsidR="008E4B08" w:rsidRDefault="00C51EF0">
      <w:pPr>
        <w:pStyle w:val="Heading3"/>
        <w:keepNext/>
        <w:spacing w:before="120" w:after="60" w:line="360" w:lineRule="auto"/>
      </w:pPr>
      <w:r>
        <w:t>7.6.4 Other Sites</w:t>
      </w:r>
    </w:p>
    <w:p w:rsidR="008E4B08" w:rsidRDefault="00C51EF0">
      <w:pPr>
        <w:spacing w:line="480" w:lineRule="auto"/>
        <w:jc w:val="both"/>
      </w:pPr>
      <w:r>
        <w:t xml:space="preserve">Some places listed in Joshua as conquered, such as Arad and </w:t>
      </w:r>
      <w:proofErr w:type="spellStart"/>
      <w:r>
        <w:t>Heshbon</w:t>
      </w:r>
      <w:proofErr w:type="spellEnd"/>
      <w:r>
        <w:t>, appear to have been empty in the Late Bronze Age, while some cities not mentioned were destroyed. The overall picture is of widespread disruption at the end of the Late Bronze Age, caused by many factors, including Egyptian campaigns, the movement of the Sea Peoples, internal conflict, economic collapse and possibly climate change.</w:t>
      </w:r>
    </w:p>
    <w:p w:rsidR="008E4B08" w:rsidRDefault="00C51EF0">
      <w:pPr>
        <w:pStyle w:val="Heading2"/>
        <w:keepNext/>
        <w:spacing w:before="240" w:after="120" w:line="360" w:lineRule="auto"/>
      </w:pPr>
      <w:bookmarkStart w:id="98" w:name="_Toc241908459"/>
      <w:r>
        <w:t>7.7 Explanations of Israel's Settlement</w:t>
      </w:r>
      <w:bookmarkEnd w:id="98"/>
    </w:p>
    <w:p w:rsidR="008E4B08" w:rsidRDefault="00C51EF0">
      <w:pPr>
        <w:spacing w:line="480" w:lineRule="auto"/>
        <w:jc w:val="both"/>
      </w:pPr>
      <w:r>
        <w:t>Scholars have proposed several explanations of how Israel came to live in Canaan.</w:t>
      </w:r>
    </w:p>
    <w:p w:rsidR="008E4B08" w:rsidRDefault="00C51EF0">
      <w:pPr>
        <w:pStyle w:val="ListParagraph"/>
        <w:numPr>
          <w:ilvl w:val="0"/>
          <w:numId w:val="2"/>
        </w:numPr>
        <w:spacing w:line="480" w:lineRule="auto"/>
        <w:jc w:val="both"/>
      </w:pPr>
      <w:r>
        <w:rPr>
          <w:b/>
          <w:bCs/>
        </w:rPr>
        <w:lastRenderedPageBreak/>
        <w:t>The conquest model</w:t>
      </w:r>
      <w:r>
        <w:t>, associated with Albright, held that Israel entered Canaan from outside and conquered its cities in a united military campaign, as described in Joshua 1–12.</w:t>
      </w:r>
    </w:p>
    <w:p w:rsidR="008E4B08" w:rsidRDefault="00C51EF0">
      <w:pPr>
        <w:pStyle w:val="ListParagraph"/>
        <w:numPr>
          <w:ilvl w:val="0"/>
          <w:numId w:val="2"/>
        </w:numPr>
        <w:spacing w:line="480" w:lineRule="auto"/>
        <w:jc w:val="both"/>
      </w:pPr>
      <w:r>
        <w:rPr>
          <w:b/>
          <w:bCs/>
        </w:rPr>
        <w:t>The peaceful settlement model</w:t>
      </w:r>
      <w:r>
        <w:t xml:space="preserve">, developed by Albrecht Alt and Martin </w:t>
      </w:r>
      <w:proofErr w:type="spellStart"/>
      <w:r>
        <w:t>Noth</w:t>
      </w:r>
      <w:proofErr w:type="spellEnd"/>
      <w:r>
        <w:t>, held that Israel's ancestors were herders who gradually settled in the thinly populated hill country, with fighting coming later.</w:t>
      </w:r>
    </w:p>
    <w:p w:rsidR="008E4B08" w:rsidRDefault="00C51EF0">
      <w:pPr>
        <w:pStyle w:val="ListParagraph"/>
        <w:numPr>
          <w:ilvl w:val="0"/>
          <w:numId w:val="2"/>
        </w:numPr>
        <w:spacing w:line="480" w:lineRule="auto"/>
        <w:jc w:val="both"/>
      </w:pPr>
      <w:r>
        <w:rPr>
          <w:b/>
          <w:bCs/>
        </w:rPr>
        <w:t>The peasant revolt model</w:t>
      </w:r>
      <w:r>
        <w:t xml:space="preserve">, proposed by George Mendenhall and developed by Norman </w:t>
      </w:r>
      <w:proofErr w:type="spellStart"/>
      <w:r>
        <w:t>Gottwald</w:t>
      </w:r>
      <w:proofErr w:type="spellEnd"/>
      <w:r>
        <w:t>, held that Israel arose from a rebellion of oppressed Canaanite farmers against their city rulers, united by the covenant faith of a small group that had come from Egypt.</w:t>
      </w:r>
      <w:r>
        <w:rPr>
          <w:vertAlign w:val="superscript"/>
        </w:rPr>
        <w:t>49</w:t>
      </w:r>
    </w:p>
    <w:p w:rsidR="008E4B08" w:rsidRDefault="00C51EF0">
      <w:pPr>
        <w:pStyle w:val="ListParagraph"/>
        <w:numPr>
          <w:ilvl w:val="0"/>
          <w:numId w:val="2"/>
        </w:numPr>
        <w:spacing w:line="480" w:lineRule="auto"/>
        <w:jc w:val="both"/>
      </w:pPr>
      <w:r>
        <w:rPr>
          <w:b/>
          <w:bCs/>
        </w:rPr>
        <w:t>Local origin models</w:t>
      </w:r>
      <w:r>
        <w:t>, based mainly on the survey evidence described in Unit Three, hold that the new villages of the hill country were founded mostly by people already in Canaan, whether herders settling down (Finkelstein) or lowland farmers moving to the hills (</w:t>
      </w:r>
      <w:proofErr w:type="spellStart"/>
      <w:r>
        <w:t>Dever</w:t>
      </w:r>
      <w:proofErr w:type="spellEnd"/>
      <w:r>
        <w:t>).</w:t>
      </w:r>
      <w:r>
        <w:rPr>
          <w:vertAlign w:val="superscript"/>
        </w:rPr>
        <w:t>50</w:t>
      </w:r>
      <w:r>
        <w:t xml:space="preserve"> The pottery and houses of these villages show much continuity with Canaanite culture, together with special features such as the absence of pig bones.</w:t>
      </w:r>
    </w:p>
    <w:p w:rsidR="008E4B08" w:rsidRDefault="00C51EF0">
      <w:pPr>
        <w:spacing w:line="480" w:lineRule="auto"/>
        <w:ind w:firstLine="720"/>
        <w:jc w:val="both"/>
      </w:pPr>
      <w:r>
        <w:t xml:space="preserve">To evaluate these models, we must read the Bible carefully as well as the archaeology. The book of Joshua itself gives a more complex picture than a simple total conquest. Joshua 13:1 says that "very much of the land" was still to be possessed. Judges 1 lists cities that were not taken. Only three cities, Jericho, Ai and </w:t>
      </w:r>
      <w:proofErr w:type="spellStart"/>
      <w:r>
        <w:t>Hazor</w:t>
      </w:r>
      <w:proofErr w:type="spellEnd"/>
      <w:r>
        <w:t>, are said to have been burnt. Kitchen and others have shown that ancient Near Eastern war reports often use exaggerated language of total destruction.</w:t>
      </w:r>
      <w:r>
        <w:rPr>
          <w:vertAlign w:val="superscript"/>
        </w:rPr>
        <w:t>51</w:t>
      </w:r>
      <w:r>
        <w:t xml:space="preserve"> The Bible therefore allows for a long process of settlement, including battles, gradual settlement and the inclusion of other groups (compare Josh 9; </w:t>
      </w:r>
      <w:proofErr w:type="spellStart"/>
      <w:r>
        <w:t>Exod</w:t>
      </w:r>
      <w:proofErr w:type="spellEnd"/>
      <w:r>
        <w:t xml:space="preserve"> 12:38).</w:t>
      </w:r>
    </w:p>
    <w:p w:rsidR="008E4B08" w:rsidRDefault="00C51EF0">
      <w:pPr>
        <w:spacing w:line="480" w:lineRule="auto"/>
        <w:ind w:firstLine="720"/>
        <w:jc w:val="both"/>
      </w:pPr>
      <w:r>
        <w:rPr>
          <w:b/>
          <w:bCs/>
        </w:rPr>
        <w:t>Example.</w:t>
      </w:r>
      <w:r>
        <w:t xml:space="preserve"> When a football team wins 5–0, fans may say, "We destroyed them completely!" No one thinks the other team was literally destroyed. Ancient war reports used similar strong language. Reading Joshua with this in mind helps us understand how Joshua </w:t>
      </w:r>
      <w:r>
        <w:lastRenderedPageBreak/>
        <w:t>10:40 ("he left none remaining") can stand alongside Judges 1, which shows many Canaanites still living in the land.</w:t>
      </w:r>
    </w:p>
    <w:p w:rsidR="008E4B08" w:rsidRDefault="00C51EF0">
      <w:pPr>
        <w:pStyle w:val="Heading2"/>
        <w:keepNext/>
        <w:spacing w:before="240" w:after="120" w:line="360" w:lineRule="auto"/>
      </w:pPr>
      <w:bookmarkStart w:id="99" w:name="_Toc241908460"/>
      <w:r>
        <w:t>7.8 Summary</w:t>
      </w:r>
      <w:bookmarkEnd w:id="99"/>
    </w:p>
    <w:p w:rsidR="008E4B08" w:rsidRDefault="00C51EF0">
      <w:pPr>
        <w:spacing w:line="480" w:lineRule="auto"/>
        <w:jc w:val="both"/>
      </w:pPr>
      <w:r>
        <w:t xml:space="preserve">No Egyptian text records the exodus, but the story fits its Egyptian setting in many ways. The </w:t>
      </w:r>
      <w:proofErr w:type="spellStart"/>
      <w:r>
        <w:t>Merneptah</w:t>
      </w:r>
      <w:proofErr w:type="spellEnd"/>
      <w:r>
        <w:t xml:space="preserve"> Stele shows that Israel existed as a people in Canaan by about 1208 BC. The date of the exodus is still debated between about 1446 BC and the thirteenth century BC. The archaeology of Jericho and Ai is difficult to reconcile with traditional readings, while </w:t>
      </w:r>
      <w:proofErr w:type="spellStart"/>
      <w:r>
        <w:t>Hazor</w:t>
      </w:r>
      <w:proofErr w:type="spellEnd"/>
      <w:r>
        <w:t xml:space="preserve"> provides the strongest case for an Israelite destruction. Explanations of Israel's origins range from conquest to local development, and a careful reading of Joshua and Judges suggests a complex process that no single model fully explains.</w:t>
      </w:r>
    </w:p>
    <w:p w:rsidR="008E4B08" w:rsidRDefault="00C51EF0">
      <w:pPr>
        <w:pStyle w:val="Heading2"/>
        <w:keepNext/>
        <w:spacing w:before="240" w:after="120" w:line="360" w:lineRule="auto"/>
      </w:pPr>
      <w:bookmarkStart w:id="100" w:name="_Toc241908461"/>
      <w:r>
        <w:t>7.9 Life Application</w:t>
      </w:r>
      <w:bookmarkEnd w:id="100"/>
    </w:p>
    <w:p w:rsidR="008E4B08" w:rsidRDefault="00C51EF0">
      <w:pPr>
        <w:spacing w:line="480" w:lineRule="auto"/>
        <w:jc w:val="both"/>
      </w:pPr>
      <w:r>
        <w:t>The exodus and the settlement in Canaan stand at the heart of the biblical message of redemption. Their study calls for careful scholarship and deep worship.</w:t>
      </w:r>
    </w:p>
    <w:p w:rsidR="008E4B08" w:rsidRDefault="00C51EF0">
      <w:pPr>
        <w:pStyle w:val="ListParagraph"/>
        <w:numPr>
          <w:ilvl w:val="0"/>
          <w:numId w:val="2"/>
        </w:numPr>
        <w:spacing w:line="480" w:lineRule="auto"/>
        <w:jc w:val="both"/>
      </w:pPr>
      <w:r>
        <w:rPr>
          <w:b/>
          <w:bCs/>
        </w:rPr>
        <w:t>God hears the cry of the oppressed.</w:t>
      </w:r>
      <w:r>
        <w:t xml:space="preserve"> The exodus begins with God hearing the groaning of slaves (</w:t>
      </w:r>
      <w:proofErr w:type="spellStart"/>
      <w:r>
        <w:t>Exod</w:t>
      </w:r>
      <w:proofErr w:type="spellEnd"/>
      <w:r>
        <w:t xml:space="preserve"> 2:24). The church in Africa must remember that God cares for the oppressed and must stand with them.</w:t>
      </w:r>
    </w:p>
    <w:p w:rsidR="008E4B08" w:rsidRDefault="00C51EF0">
      <w:pPr>
        <w:pStyle w:val="ListParagraph"/>
        <w:numPr>
          <w:ilvl w:val="0"/>
          <w:numId w:val="2"/>
        </w:numPr>
        <w:spacing w:line="480" w:lineRule="auto"/>
        <w:jc w:val="both"/>
      </w:pPr>
      <w:r>
        <w:rPr>
          <w:b/>
          <w:bCs/>
        </w:rPr>
        <w:t>Redemption leads to covenant.</w:t>
      </w:r>
      <w:r>
        <w:t xml:space="preserve"> Israel was freed in order to serve God. Salvation in Christ is likewise freedom for holiness and obedience, not freedom for selfishness.</w:t>
      </w:r>
    </w:p>
    <w:p w:rsidR="008E4B08" w:rsidRDefault="00C51EF0">
      <w:pPr>
        <w:pStyle w:val="ListParagraph"/>
        <w:numPr>
          <w:ilvl w:val="0"/>
          <w:numId w:val="2"/>
        </w:numPr>
        <w:spacing w:line="480" w:lineRule="auto"/>
        <w:jc w:val="both"/>
      </w:pPr>
      <w:r>
        <w:rPr>
          <w:b/>
          <w:bCs/>
        </w:rPr>
        <w:t>Read the whole story.</w:t>
      </w:r>
      <w:r>
        <w:t xml:space="preserve"> Joshua and Judges together show that the settlement was gradual and incomplete. Victory in the Christian life is also often a process that requires perseverance, not a single dramatic moment.</w:t>
      </w:r>
    </w:p>
    <w:p w:rsidR="008E4B08" w:rsidRDefault="00C51EF0">
      <w:pPr>
        <w:pStyle w:val="ListParagraph"/>
        <w:numPr>
          <w:ilvl w:val="0"/>
          <w:numId w:val="2"/>
        </w:numPr>
        <w:spacing w:line="480" w:lineRule="auto"/>
        <w:jc w:val="both"/>
      </w:pPr>
      <w:r>
        <w:rPr>
          <w:b/>
          <w:bCs/>
        </w:rPr>
        <w:t>Be careful with hasty claims.</w:t>
      </w:r>
      <w:r>
        <w:t xml:space="preserve"> The story of Jericho's excavation teaches that both scholars and preachers can be too quick to claim proof. Patience and honesty </w:t>
      </w:r>
      <w:proofErr w:type="spellStart"/>
      <w:r>
        <w:t>honour</w:t>
      </w:r>
      <w:proofErr w:type="spellEnd"/>
      <w:r>
        <w:t xml:space="preserve"> God more than early celebration.</w:t>
      </w:r>
    </w:p>
    <w:p w:rsidR="008E4B08" w:rsidRDefault="00C51EF0">
      <w:pPr>
        <w:pStyle w:val="Heading3"/>
        <w:keepNext/>
        <w:spacing w:before="120" w:after="60" w:line="360" w:lineRule="auto"/>
      </w:pPr>
      <w:r>
        <w:lastRenderedPageBreak/>
        <w:t>Prayer</w:t>
      </w:r>
    </w:p>
    <w:p w:rsidR="008E4B08" w:rsidRDefault="00C51EF0">
      <w:pPr>
        <w:spacing w:line="480" w:lineRule="auto"/>
        <w:ind w:left="360" w:right="360"/>
        <w:jc w:val="both"/>
      </w:pPr>
      <w:r>
        <w:rPr>
          <w:i/>
          <w:iCs/>
        </w:rPr>
        <w:t>Redeemer God, thank you for bringing your people out of bondage, and for setting me free in Christ, our Passover Lamb. Help me to live as one redeemed for your service. Strengthen me to persevere in the long journey of faith and to stand with those who are oppressed. In Jesus' name. Amen.</w:t>
      </w:r>
    </w:p>
    <w:p w:rsidR="008E4B08" w:rsidRDefault="00C51EF0">
      <w:pPr>
        <w:pStyle w:val="Heading2"/>
        <w:keepNext/>
        <w:spacing w:before="240" w:after="120" w:line="360" w:lineRule="auto"/>
      </w:pPr>
      <w:bookmarkStart w:id="101" w:name="_Toc241908462"/>
      <w:r>
        <w:t>7.10 Discussion Questions</w:t>
      </w:r>
      <w:bookmarkEnd w:id="101"/>
    </w:p>
    <w:p w:rsidR="008E4B08" w:rsidRDefault="00C51EF0">
      <w:pPr>
        <w:tabs>
          <w:tab w:val="left" w:pos="720"/>
        </w:tabs>
        <w:spacing w:line="480" w:lineRule="auto"/>
        <w:ind w:left="720" w:hanging="360"/>
        <w:jc w:val="both"/>
      </w:pPr>
      <w:r>
        <w:t>1.</w:t>
      </w:r>
      <w:r>
        <w:tab/>
        <w:t xml:space="preserve">What does the </w:t>
      </w:r>
      <w:proofErr w:type="spellStart"/>
      <w:r>
        <w:t>Merneptah</w:t>
      </w:r>
      <w:proofErr w:type="spellEnd"/>
      <w:r>
        <w:t xml:space="preserve"> Stele tell us about Israel, and what does it not tell us?</w:t>
      </w:r>
    </w:p>
    <w:p w:rsidR="008E4B08" w:rsidRDefault="00C51EF0">
      <w:pPr>
        <w:tabs>
          <w:tab w:val="left" w:pos="720"/>
        </w:tabs>
        <w:spacing w:line="480" w:lineRule="auto"/>
        <w:ind w:left="720" w:hanging="360"/>
        <w:jc w:val="both"/>
      </w:pPr>
      <w:r>
        <w:t>2.</w:t>
      </w:r>
      <w:r>
        <w:tab/>
        <w:t>Compare the arguments for the early and late dates of the exodus. Which do you find more persuasive, and why?</w:t>
      </w:r>
    </w:p>
    <w:p w:rsidR="008E4B08" w:rsidRDefault="00C51EF0">
      <w:pPr>
        <w:tabs>
          <w:tab w:val="left" w:pos="720"/>
        </w:tabs>
        <w:spacing w:line="480" w:lineRule="auto"/>
        <w:ind w:left="720" w:hanging="360"/>
        <w:jc w:val="both"/>
      </w:pPr>
      <w:r>
        <w:t>3.</w:t>
      </w:r>
      <w:r>
        <w:tab/>
        <w:t>Assess the debate between Kenyon and Wood on the destruction of Jericho.</w:t>
      </w:r>
    </w:p>
    <w:p w:rsidR="008E4B08" w:rsidRDefault="00C51EF0">
      <w:pPr>
        <w:tabs>
          <w:tab w:val="left" w:pos="720"/>
        </w:tabs>
        <w:spacing w:line="480" w:lineRule="auto"/>
        <w:ind w:left="720" w:hanging="360"/>
        <w:jc w:val="both"/>
      </w:pPr>
      <w:r>
        <w:t>4.</w:t>
      </w:r>
      <w:r>
        <w:tab/>
        <w:t>Evaluate the main explanations of Israel's settlement in Canaan in the light of both archaeology and the text of Joshua and Judges.</w:t>
      </w:r>
    </w:p>
    <w:p w:rsidR="008E4B08" w:rsidRDefault="00C51EF0">
      <w:pPr>
        <w:pStyle w:val="Heading2"/>
        <w:keepNext/>
        <w:spacing w:before="240" w:after="120" w:line="360" w:lineRule="auto"/>
      </w:pPr>
      <w:bookmarkStart w:id="102" w:name="_Toc241908463"/>
      <w:r>
        <w:t>7.11 Further Reading</w:t>
      </w:r>
      <w:bookmarkEnd w:id="102"/>
    </w:p>
    <w:p w:rsidR="008E4B08" w:rsidRDefault="00C51EF0">
      <w:pPr>
        <w:spacing w:after="160"/>
        <w:ind w:left="720" w:hanging="720"/>
      </w:pPr>
      <w:proofErr w:type="spellStart"/>
      <w:r>
        <w:t>Dever</w:t>
      </w:r>
      <w:proofErr w:type="spellEnd"/>
      <w:r>
        <w:t xml:space="preserve">, William G. </w:t>
      </w:r>
      <w:r>
        <w:rPr>
          <w:i/>
          <w:iCs/>
        </w:rPr>
        <w:t>Who Were the Early Israelites and Where Did They Come From?</w:t>
      </w:r>
      <w:r>
        <w:t xml:space="preserve"> Grand Rapids: Eerdmans, 2003.</w:t>
      </w:r>
    </w:p>
    <w:p w:rsidR="008E4B08" w:rsidRDefault="00C51EF0">
      <w:pPr>
        <w:spacing w:after="160"/>
        <w:ind w:left="720" w:hanging="720"/>
      </w:pPr>
      <w:proofErr w:type="spellStart"/>
      <w:r>
        <w:t>Hoffmeier</w:t>
      </w:r>
      <w:proofErr w:type="spellEnd"/>
      <w:r>
        <w:t xml:space="preserve">, James K. </w:t>
      </w:r>
      <w:r>
        <w:rPr>
          <w:i/>
          <w:iCs/>
        </w:rPr>
        <w:t>Israel in Egypt</w:t>
      </w:r>
      <w:r>
        <w:t>. New York: Oxford University Press, 1997.</w:t>
      </w:r>
    </w:p>
    <w:p w:rsidR="008E4B08" w:rsidRDefault="00C51EF0">
      <w:pPr>
        <w:spacing w:after="160"/>
        <w:ind w:left="720" w:hanging="720"/>
      </w:pPr>
      <w:proofErr w:type="spellStart"/>
      <w:r>
        <w:t>Hoffmeier</w:t>
      </w:r>
      <w:proofErr w:type="spellEnd"/>
      <w:r>
        <w:t xml:space="preserve">, James K., and Alan Millard, </w:t>
      </w:r>
      <w:proofErr w:type="gramStart"/>
      <w:r>
        <w:t>eds</w:t>
      </w:r>
      <w:proofErr w:type="gramEnd"/>
      <w:r>
        <w:t xml:space="preserve">. </w:t>
      </w:r>
      <w:r>
        <w:rPr>
          <w:i/>
          <w:iCs/>
        </w:rPr>
        <w:t>The Future of Biblical Archaeology: Reassessing Methodologies and Assumptions</w:t>
      </w:r>
      <w:r>
        <w:t>. Grand Rapids: Eerdmans, 2004.</w:t>
      </w:r>
    </w:p>
    <w:p w:rsidR="008E4B08" w:rsidRDefault="00C51EF0">
      <w:pPr>
        <w:spacing w:after="160"/>
        <w:ind w:left="720" w:hanging="720"/>
      </w:pPr>
      <w:r>
        <w:t xml:space="preserve">Kitchen, K. A. </w:t>
      </w:r>
      <w:r>
        <w:rPr>
          <w:i/>
          <w:iCs/>
        </w:rPr>
        <w:t>On the Reliability of the Old Testament</w:t>
      </w:r>
      <w:r>
        <w:t>. Grand Rapids: Eerdmans, 2003.</w:t>
      </w:r>
    </w:p>
    <w:p w:rsidR="008E4B08" w:rsidRDefault="00C51EF0">
      <w:pPr>
        <w:pStyle w:val="Heading1"/>
        <w:pageBreakBefore/>
        <w:spacing w:after="360" w:line="360" w:lineRule="auto"/>
        <w:jc w:val="center"/>
      </w:pPr>
      <w:bookmarkStart w:id="103" w:name="_Toc241908464"/>
      <w:r>
        <w:lastRenderedPageBreak/>
        <w:t>UNIT EIGHT: THE UNITED MONARCHY: DAVID AND SOLOMON</w:t>
      </w:r>
      <w:bookmarkEnd w:id="103"/>
    </w:p>
    <w:p w:rsidR="008E4B08" w:rsidRDefault="00C51EF0">
      <w:pPr>
        <w:pStyle w:val="Heading2"/>
        <w:keepNext/>
        <w:spacing w:before="240" w:after="120" w:line="360" w:lineRule="auto"/>
      </w:pPr>
      <w:bookmarkStart w:id="104" w:name="_Toc241908465"/>
      <w:r>
        <w:t>8.1 Introduction</w:t>
      </w:r>
      <w:bookmarkEnd w:id="104"/>
    </w:p>
    <w:p w:rsidR="008E4B08" w:rsidRDefault="00C51EF0">
      <w:pPr>
        <w:spacing w:line="480" w:lineRule="auto"/>
        <w:jc w:val="both"/>
      </w:pPr>
      <w:r>
        <w:t xml:space="preserve">The reigns of David and Solomon hold a central place in the Old Testament. David is the model king who received God's promise that his house would last </w:t>
      </w:r>
      <w:proofErr w:type="spellStart"/>
      <w:r>
        <w:t>for ever</w:t>
      </w:r>
      <w:proofErr w:type="spellEnd"/>
      <w:r>
        <w:t xml:space="preserve"> (2 Sam 7), and he is the ancestor of the Messiah. Solomon is remembered for his wisdom, his wealth and his building of the temple in Jerusalem. In recent decades, however, the existence and size of their kingdom have become the most hotly debated subjects in biblical archaeology. This unit examines the evidence, the debate about dates and the main interpretations.</w:t>
      </w:r>
    </w:p>
    <w:p w:rsidR="008E4B08" w:rsidRDefault="00C51EF0">
      <w:pPr>
        <w:pStyle w:val="Heading2"/>
        <w:keepNext/>
        <w:spacing w:before="240" w:after="120" w:line="360" w:lineRule="auto"/>
      </w:pPr>
      <w:bookmarkStart w:id="105" w:name="_Toc241908466"/>
      <w:r>
        <w:t>8.2 Learning Objectives</w:t>
      </w:r>
      <w:bookmarkEnd w:id="105"/>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explain the importance of the Tel Dan inscription and related evidence;</w:t>
      </w:r>
    </w:p>
    <w:p w:rsidR="008E4B08" w:rsidRDefault="00C51EF0">
      <w:pPr>
        <w:pStyle w:val="ListParagraph"/>
        <w:numPr>
          <w:ilvl w:val="0"/>
          <w:numId w:val="2"/>
        </w:numPr>
        <w:spacing w:line="480" w:lineRule="auto"/>
        <w:jc w:val="both"/>
      </w:pPr>
      <w:r>
        <w:t>describe the "low chronology" debate and its effects;</w:t>
      </w:r>
    </w:p>
    <w:p w:rsidR="008E4B08" w:rsidRDefault="00C51EF0">
      <w:pPr>
        <w:pStyle w:val="ListParagraph"/>
        <w:numPr>
          <w:ilvl w:val="0"/>
          <w:numId w:val="2"/>
        </w:numPr>
        <w:spacing w:line="480" w:lineRule="auto"/>
        <w:jc w:val="both"/>
      </w:pPr>
      <w:r>
        <w:t xml:space="preserve">evaluate the evidence from Jerusalem, Khirbet </w:t>
      </w:r>
      <w:proofErr w:type="spellStart"/>
      <w:r>
        <w:t>Qeiyafa</w:t>
      </w:r>
      <w:proofErr w:type="spellEnd"/>
      <w:r>
        <w:t xml:space="preserve"> and the "</w:t>
      </w:r>
      <w:proofErr w:type="spellStart"/>
      <w:r>
        <w:t>Solomonic</w:t>
      </w:r>
      <w:proofErr w:type="spellEnd"/>
      <w:r>
        <w:t>" cities; and</w:t>
      </w:r>
    </w:p>
    <w:p w:rsidR="008E4B08" w:rsidRDefault="00C51EF0">
      <w:pPr>
        <w:pStyle w:val="ListParagraph"/>
        <w:numPr>
          <w:ilvl w:val="0"/>
          <w:numId w:val="2"/>
        </w:numPr>
        <w:spacing w:line="480" w:lineRule="auto"/>
        <w:jc w:val="both"/>
      </w:pPr>
      <w:proofErr w:type="gramStart"/>
      <w:r>
        <w:t>assess</w:t>
      </w:r>
      <w:proofErr w:type="gramEnd"/>
      <w:r>
        <w:t xml:space="preserve"> the main views of the tenth century BC.</w:t>
      </w:r>
    </w:p>
    <w:p w:rsidR="008E4B08" w:rsidRDefault="00C51EF0">
      <w:pPr>
        <w:pStyle w:val="Heading2"/>
        <w:keepNext/>
        <w:spacing w:before="240" w:after="120" w:line="360" w:lineRule="auto"/>
      </w:pPr>
      <w:bookmarkStart w:id="106" w:name="_Toc241908467"/>
      <w:r>
        <w:t>8.3 The Biblical Picture</w:t>
      </w:r>
      <w:bookmarkEnd w:id="106"/>
    </w:p>
    <w:p w:rsidR="008E4B08" w:rsidRDefault="00C51EF0">
      <w:pPr>
        <w:spacing w:line="480" w:lineRule="auto"/>
        <w:jc w:val="both"/>
      </w:pPr>
      <w:r>
        <w:t xml:space="preserve">According to Samuel and Kings, David united the tribes of Israel and Judah, captured Jerusalem from the </w:t>
      </w:r>
      <w:proofErr w:type="spellStart"/>
      <w:r>
        <w:t>Jebusites</w:t>
      </w:r>
      <w:proofErr w:type="spellEnd"/>
      <w:r>
        <w:t xml:space="preserve"> and made it his capital, defeated the Philistines and ruled over </w:t>
      </w:r>
      <w:proofErr w:type="spellStart"/>
      <w:r>
        <w:t>neighbouring</w:t>
      </w:r>
      <w:proofErr w:type="spellEnd"/>
      <w:r>
        <w:t xml:space="preserve"> peoples. Solomon strengthened the kingdom, built the temple and a royal palace in Jerusalem, fortified </w:t>
      </w:r>
      <w:proofErr w:type="spellStart"/>
      <w:r>
        <w:t>Hazor</w:t>
      </w:r>
      <w:proofErr w:type="spellEnd"/>
      <w:r>
        <w:t>, Megiddo and Gezer (1 Kgs 9:15), traded with other nations and received the Queen of Sheba. On the traditional dating, David reigned from about 1010 to 970 BC and Solomon from about 970 to 931 BC.</w:t>
      </w:r>
    </w:p>
    <w:p w:rsidR="008E4B08" w:rsidRDefault="00C51EF0">
      <w:pPr>
        <w:pStyle w:val="Heading2"/>
        <w:keepNext/>
        <w:spacing w:before="240" w:after="120" w:line="360" w:lineRule="auto"/>
      </w:pPr>
      <w:bookmarkStart w:id="107" w:name="_Toc241908468"/>
      <w:r>
        <w:lastRenderedPageBreak/>
        <w:t>8.4 Inscriptions That Mention the House of David</w:t>
      </w:r>
      <w:bookmarkEnd w:id="107"/>
    </w:p>
    <w:p w:rsidR="008E4B08" w:rsidRDefault="00C51EF0">
      <w:pPr>
        <w:pStyle w:val="Heading3"/>
        <w:keepNext/>
        <w:spacing w:before="120" w:after="60" w:line="360" w:lineRule="auto"/>
      </w:pPr>
      <w:r>
        <w:t>8.4.1 The Tel Dan Inscription</w:t>
      </w:r>
    </w:p>
    <w:p w:rsidR="008E4B08" w:rsidRDefault="00C51EF0">
      <w:pPr>
        <w:spacing w:line="480" w:lineRule="auto"/>
        <w:jc w:val="both"/>
      </w:pPr>
      <w:r>
        <w:t xml:space="preserve">In 1993 and 1994, archaeologists at Tel Dan in northern Israel, led by Avraham </w:t>
      </w:r>
      <w:proofErr w:type="spellStart"/>
      <w:r>
        <w:t>Biran</w:t>
      </w:r>
      <w:proofErr w:type="spellEnd"/>
      <w:r>
        <w:t xml:space="preserve">, found pieces of a stone inscription written in Aramaic. It was set up in the second half of the ninth century BC, probably by </w:t>
      </w:r>
      <w:proofErr w:type="spellStart"/>
      <w:r>
        <w:t>Hazael</w:t>
      </w:r>
      <w:proofErr w:type="spellEnd"/>
      <w:r>
        <w:t>, king of Damascus. The king boasts that he killed a king of Israel and a king of the "House of David" (</w:t>
      </w:r>
      <w:proofErr w:type="spellStart"/>
      <w:r>
        <w:rPr>
          <w:i/>
          <w:iCs/>
        </w:rPr>
        <w:t>bytdwd</w:t>
      </w:r>
      <w:proofErr w:type="spellEnd"/>
      <w:r>
        <w:t xml:space="preserve">). These kings are probably </w:t>
      </w:r>
      <w:proofErr w:type="spellStart"/>
      <w:r>
        <w:t>Jehoram</w:t>
      </w:r>
      <w:proofErr w:type="spellEnd"/>
      <w:r>
        <w:t xml:space="preserve"> of Israel and </w:t>
      </w:r>
      <w:proofErr w:type="spellStart"/>
      <w:r>
        <w:t>Ahaziah</w:t>
      </w:r>
      <w:proofErr w:type="spellEnd"/>
      <w:r>
        <w:t xml:space="preserve"> of Judah, whose deaths 2 Kings 9 attributes to Jehu.</w:t>
      </w:r>
      <w:r>
        <w:rPr>
          <w:vertAlign w:val="superscript"/>
        </w:rPr>
        <w:t>52</w:t>
      </w:r>
    </w:p>
    <w:p w:rsidR="008E4B08" w:rsidRDefault="00C51EF0">
      <w:pPr>
        <w:spacing w:line="480" w:lineRule="auto"/>
        <w:ind w:firstLine="720"/>
        <w:jc w:val="both"/>
      </w:pPr>
      <w:r>
        <w:t xml:space="preserve">"House of David" refers to the kingdom of Judah by the name of the founder of its royal family, just as Assyrian texts call Israel the "House of </w:t>
      </w:r>
      <w:proofErr w:type="spellStart"/>
      <w:r>
        <w:t>Omri</w:t>
      </w:r>
      <w:proofErr w:type="spellEnd"/>
      <w:r>
        <w:t>". The inscription shows that within about 150 years of his reign, David was remembered as the founder of Judah's royal line. Some minimalist scholars first suggested other readings, but the reading "House of David" is now very widely accepted.</w:t>
      </w:r>
    </w:p>
    <w:p w:rsidR="008E4B08" w:rsidRDefault="00C51EF0">
      <w:pPr>
        <w:spacing w:line="480" w:lineRule="auto"/>
        <w:ind w:firstLine="720"/>
        <w:jc w:val="both"/>
      </w:pPr>
      <w:r>
        <w:rPr>
          <w:b/>
          <w:bCs/>
        </w:rPr>
        <w:t>Example.</w:t>
      </w:r>
      <w:r>
        <w:t xml:space="preserve"> In Nigeria, people sometimes speak of a ruling family or a political dynasty by the name of its founder. The name only makes sense if the founder was a real and important person. In the same way, </w:t>
      </w:r>
      <w:proofErr w:type="spellStart"/>
      <w:r>
        <w:t>Hazael's</w:t>
      </w:r>
      <w:proofErr w:type="spellEnd"/>
      <w:r>
        <w:t xml:space="preserve"> use of "House of David" assumes that David was a real king who founded a dynasty.</w:t>
      </w:r>
    </w:p>
    <w:p w:rsidR="008E4B08" w:rsidRDefault="00C51EF0">
      <w:pPr>
        <w:pStyle w:val="Heading3"/>
        <w:keepNext/>
        <w:spacing w:before="120" w:after="60" w:line="360" w:lineRule="auto"/>
      </w:pPr>
      <w:r>
        <w:t xml:space="preserve">8.4.2 The </w:t>
      </w:r>
      <w:proofErr w:type="spellStart"/>
      <w:r>
        <w:t>Mesha</w:t>
      </w:r>
      <w:proofErr w:type="spellEnd"/>
      <w:r>
        <w:t xml:space="preserve"> Inscription</w:t>
      </w:r>
    </w:p>
    <w:p w:rsidR="008E4B08" w:rsidRDefault="00C51EF0">
      <w:pPr>
        <w:spacing w:line="480" w:lineRule="auto"/>
        <w:jc w:val="both"/>
      </w:pPr>
      <w:r>
        <w:t xml:space="preserve">André </w:t>
      </w:r>
      <w:proofErr w:type="spellStart"/>
      <w:r>
        <w:t>Lemaire</w:t>
      </w:r>
      <w:proofErr w:type="spellEnd"/>
      <w:r>
        <w:t xml:space="preserve"> has argued that the </w:t>
      </w:r>
      <w:proofErr w:type="spellStart"/>
      <w:r>
        <w:t>Mesha</w:t>
      </w:r>
      <w:proofErr w:type="spellEnd"/>
      <w:r>
        <w:t xml:space="preserve"> Inscription (about 840 BC) also mentions the "House of David" in line 31, though that part of the stone is damaged and the reading is less certain.</w:t>
      </w:r>
      <w:r>
        <w:rPr>
          <w:vertAlign w:val="superscript"/>
        </w:rPr>
        <w:t>53</w:t>
      </w:r>
    </w:p>
    <w:p w:rsidR="008E4B08" w:rsidRDefault="00C51EF0">
      <w:pPr>
        <w:pStyle w:val="Heading3"/>
        <w:keepNext/>
        <w:spacing w:before="120" w:after="60" w:line="360" w:lineRule="auto"/>
      </w:pPr>
      <w:r>
        <w:t xml:space="preserve">8.4.3 </w:t>
      </w:r>
      <w:proofErr w:type="spellStart"/>
      <w:r>
        <w:t>Shishak's</w:t>
      </w:r>
      <w:proofErr w:type="spellEnd"/>
      <w:r>
        <w:t xml:space="preserve"> List</w:t>
      </w:r>
    </w:p>
    <w:p w:rsidR="008E4B08" w:rsidRDefault="00C51EF0">
      <w:pPr>
        <w:spacing w:line="480" w:lineRule="auto"/>
        <w:jc w:val="both"/>
      </w:pPr>
      <w:r>
        <w:t xml:space="preserve">Pharaoh </w:t>
      </w:r>
      <w:proofErr w:type="spellStart"/>
      <w:r>
        <w:t>Shishak</w:t>
      </w:r>
      <w:proofErr w:type="spellEnd"/>
      <w:r>
        <w:t xml:space="preserve"> (</w:t>
      </w:r>
      <w:proofErr w:type="spellStart"/>
      <w:r>
        <w:t>Shoshenq</w:t>
      </w:r>
      <w:proofErr w:type="spellEnd"/>
      <w:r>
        <w:t xml:space="preserve"> I) campaigned in Canaan in about 925 BC (1 Kgs 14:25–26) and listed the places he attacked on a temple wall at </w:t>
      </w:r>
      <w:proofErr w:type="spellStart"/>
      <w:r>
        <w:t>Karnak</w:t>
      </w:r>
      <w:proofErr w:type="spellEnd"/>
      <w:r>
        <w:t xml:space="preserve"> in Egypt. Kitchen suggests that one name may be read "the heights of David". This is possible but uncertain. The </w:t>
      </w:r>
      <w:proofErr w:type="spellStart"/>
      <w:r>
        <w:t>Shishak</w:t>
      </w:r>
      <w:proofErr w:type="spellEnd"/>
      <w:r>
        <w:t xml:space="preserve"> list is nevertheless valuable as an Egyptian record of a campaign also recorded in Kings.</w:t>
      </w:r>
    </w:p>
    <w:p w:rsidR="008E4B08" w:rsidRDefault="00C51EF0">
      <w:pPr>
        <w:pStyle w:val="Heading2"/>
        <w:keepNext/>
        <w:spacing w:before="240" w:after="120" w:line="360" w:lineRule="auto"/>
      </w:pPr>
      <w:bookmarkStart w:id="108" w:name="_Toc241908469"/>
      <w:r>
        <w:lastRenderedPageBreak/>
        <w:t>8.5 The Debate about Dates</w:t>
      </w:r>
      <w:bookmarkEnd w:id="108"/>
    </w:p>
    <w:p w:rsidR="008E4B08" w:rsidRDefault="00C51EF0">
      <w:pPr>
        <w:pStyle w:val="Heading3"/>
        <w:keepNext/>
        <w:spacing w:before="120" w:after="60" w:line="360" w:lineRule="auto"/>
      </w:pPr>
      <w:r>
        <w:t>8.5.1 The Traditional Dates</w:t>
      </w:r>
    </w:p>
    <w:p w:rsidR="008E4B08" w:rsidRDefault="00C51EF0">
      <w:pPr>
        <w:spacing w:line="480" w:lineRule="auto"/>
        <w:jc w:val="both"/>
      </w:pPr>
      <w:r>
        <w:t xml:space="preserve">In the traditional view, developed largely by </w:t>
      </w:r>
      <w:proofErr w:type="spellStart"/>
      <w:r>
        <w:t>Yigael</w:t>
      </w:r>
      <w:proofErr w:type="spellEnd"/>
      <w:r>
        <w:t xml:space="preserve"> </w:t>
      </w:r>
      <w:proofErr w:type="spellStart"/>
      <w:r>
        <w:t>Yadin</w:t>
      </w:r>
      <w:proofErr w:type="spellEnd"/>
      <w:r>
        <w:t xml:space="preserve">, a type of red, hand-polished pottery and several large buildings were dated to the tenth century BC and linked with Solomon. </w:t>
      </w:r>
      <w:proofErr w:type="spellStart"/>
      <w:r>
        <w:t>Yadin</w:t>
      </w:r>
      <w:proofErr w:type="spellEnd"/>
      <w:r>
        <w:t xml:space="preserve"> found city gates with six chambers of very similar design at </w:t>
      </w:r>
      <w:proofErr w:type="spellStart"/>
      <w:r>
        <w:t>Hazor</w:t>
      </w:r>
      <w:proofErr w:type="spellEnd"/>
      <w:r>
        <w:t>, Megiddo and Gezer. Reading 1 Kings 9:15, he concluded that they were built by Solomon's architects.</w:t>
      </w:r>
      <w:r>
        <w:rPr>
          <w:vertAlign w:val="superscript"/>
        </w:rPr>
        <w:t>54</w:t>
      </w:r>
    </w:p>
    <w:p w:rsidR="008E4B08" w:rsidRDefault="00C51EF0">
      <w:pPr>
        <w:pStyle w:val="Heading3"/>
        <w:keepNext/>
        <w:spacing w:before="120" w:after="60" w:line="360" w:lineRule="auto"/>
      </w:pPr>
      <w:r>
        <w:t>8.5.2 The Low Chronology</w:t>
      </w:r>
    </w:p>
    <w:p w:rsidR="008E4B08" w:rsidRDefault="00C51EF0">
      <w:pPr>
        <w:spacing w:line="480" w:lineRule="auto"/>
        <w:jc w:val="both"/>
      </w:pPr>
      <w:r>
        <w:t>In 1996 Israel Finkelstein proposed a "low chronology", moving the dates of the relevant layers later by about 75 to 100 years.</w:t>
      </w:r>
      <w:r>
        <w:rPr>
          <w:vertAlign w:val="superscript"/>
        </w:rPr>
        <w:t>55</w:t>
      </w:r>
      <w:r>
        <w:t xml:space="preserve"> He argued that the dating of Philistine pottery, on which the traditional dates depended, was too early. On his view, the large buildings at Megiddo, </w:t>
      </w:r>
      <w:proofErr w:type="spellStart"/>
      <w:r>
        <w:t>Hazor</w:t>
      </w:r>
      <w:proofErr w:type="spellEnd"/>
      <w:r>
        <w:t xml:space="preserve"> and Gezer belong to the ninth century and were built by </w:t>
      </w:r>
      <w:proofErr w:type="spellStart"/>
      <w:r>
        <w:t>Omri</w:t>
      </w:r>
      <w:proofErr w:type="spellEnd"/>
      <w:r>
        <w:t xml:space="preserve"> and Ahab, kings of northern Israel. Jerusalem in the tenth century was a small hill village, and David and Solomon were real but fairly minor tribal leaders. The </w:t>
      </w:r>
      <w:proofErr w:type="spellStart"/>
      <w:r>
        <w:t>splendour</w:t>
      </w:r>
      <w:proofErr w:type="spellEnd"/>
      <w:r>
        <w:t xml:space="preserve"> of their kingdom, he suggested, was a picture painted by later writers in Judah, perhaps in the time of King Josiah in the seventh century.</w:t>
      </w:r>
      <w:r>
        <w:rPr>
          <w:vertAlign w:val="superscript"/>
        </w:rPr>
        <w:t>56</w:t>
      </w:r>
    </w:p>
    <w:p w:rsidR="008E4B08" w:rsidRDefault="00C51EF0">
      <w:pPr>
        <w:pStyle w:val="Heading3"/>
        <w:keepNext/>
        <w:spacing w:before="120" w:after="60" w:line="360" w:lineRule="auto"/>
      </w:pPr>
      <w:r>
        <w:t>8.5.3 Responses</w:t>
      </w:r>
    </w:p>
    <w:p w:rsidR="008E4B08" w:rsidRDefault="00C51EF0">
      <w:pPr>
        <w:spacing w:line="480" w:lineRule="auto"/>
        <w:jc w:val="both"/>
      </w:pPr>
      <w:proofErr w:type="spellStart"/>
      <w:r>
        <w:t>Amihai</w:t>
      </w:r>
      <w:proofErr w:type="spellEnd"/>
      <w:r>
        <w:t xml:space="preserve"> </w:t>
      </w:r>
      <w:proofErr w:type="spellStart"/>
      <w:r>
        <w:t>Mazar</w:t>
      </w:r>
      <w:proofErr w:type="spellEnd"/>
      <w:r>
        <w:t xml:space="preserve"> answered with a "modified conventional chronology". He extended the relevant pottery period across both the tenth and ninth centuries, which allows some large buildings to belong to the tenth century while accepting that some features once linked to Solomon may be later.</w:t>
      </w:r>
      <w:r>
        <w:rPr>
          <w:vertAlign w:val="superscript"/>
        </w:rPr>
        <w:t>57</w:t>
      </w:r>
      <w:r>
        <w:t xml:space="preserve"> Radiocarbon dates from sites such as Tel </w:t>
      </w:r>
      <w:proofErr w:type="spellStart"/>
      <w:r>
        <w:t>Rehov</w:t>
      </w:r>
      <w:proofErr w:type="spellEnd"/>
      <w:r>
        <w:t xml:space="preserve"> have been central to the debate. In recent years the two sides have moved closer. Many scholars now accept that the change from Iron Age I to Iron Age IIA took place in the late tenth century, but they still disagree about how much state building can be credited to David and Solomon.</w:t>
      </w:r>
    </w:p>
    <w:p w:rsidR="008E4B08" w:rsidRDefault="00C51EF0">
      <w:pPr>
        <w:spacing w:line="480" w:lineRule="auto"/>
        <w:ind w:firstLine="720"/>
        <w:jc w:val="both"/>
      </w:pPr>
      <w:r>
        <w:rPr>
          <w:b/>
          <w:bCs/>
        </w:rPr>
        <w:t>Example.</w:t>
      </w:r>
      <w:r>
        <w:t xml:space="preserve"> The disagreement is a little like two families arguing about when a house was built. Both agree on the order in which rooms were added, but one says the main hall was </w:t>
      </w:r>
      <w:r>
        <w:lastRenderedPageBreak/>
        <w:t>built in the grandfather's time and the other says it was built by his son. The building is the same; the question is which generation built it.</w:t>
      </w:r>
    </w:p>
    <w:p w:rsidR="008E4B08" w:rsidRDefault="00C51EF0">
      <w:pPr>
        <w:pStyle w:val="Heading2"/>
        <w:keepNext/>
        <w:spacing w:before="240" w:after="120" w:line="360" w:lineRule="auto"/>
      </w:pPr>
      <w:bookmarkStart w:id="109" w:name="_Toc241908470"/>
      <w:r>
        <w:t>8.6 Jerusalem in the Tenth Century</w:t>
      </w:r>
      <w:bookmarkEnd w:id="109"/>
    </w:p>
    <w:p w:rsidR="008E4B08" w:rsidRDefault="00C51EF0">
      <w:pPr>
        <w:spacing w:line="480" w:lineRule="auto"/>
        <w:jc w:val="both"/>
      </w:pPr>
      <w:r>
        <w:t>Jerusalem is very difficult to excavate. It has been lived in continuously, built over many times and destroyed often. The Temple Mount cannot be excavated for religious and political reasons. On the steep slopes of the City of David, the narrow ridge south of the Temple Mount where the earliest city stood, bedrock lies close to the surface, so later builders often removed older remains completely.</w:t>
      </w:r>
    </w:p>
    <w:p w:rsidR="008E4B08" w:rsidRDefault="00C51EF0">
      <w:pPr>
        <w:spacing w:line="480" w:lineRule="auto"/>
        <w:ind w:firstLine="720"/>
        <w:jc w:val="both"/>
      </w:pPr>
      <w:r>
        <w:t xml:space="preserve">Two structures are at the </w:t>
      </w:r>
      <w:proofErr w:type="spellStart"/>
      <w:r>
        <w:t>centre</w:t>
      </w:r>
      <w:proofErr w:type="spellEnd"/>
      <w:r>
        <w:t xml:space="preserve"> of the debate. The Stepped Stone Structure is a massive stone support on the eastern slope of the City of David, excavated by Kenyon and by </w:t>
      </w:r>
      <w:proofErr w:type="spellStart"/>
      <w:r>
        <w:t>Yigal</w:t>
      </w:r>
      <w:proofErr w:type="spellEnd"/>
      <w:r>
        <w:t xml:space="preserve"> Shiloh. In 2005 </w:t>
      </w:r>
      <w:proofErr w:type="spellStart"/>
      <w:r>
        <w:t>Eilat</w:t>
      </w:r>
      <w:proofErr w:type="spellEnd"/>
      <w:r>
        <w:t xml:space="preserve"> </w:t>
      </w:r>
      <w:proofErr w:type="spellStart"/>
      <w:r>
        <w:t>Mazar</w:t>
      </w:r>
      <w:proofErr w:type="spellEnd"/>
      <w:r>
        <w:t xml:space="preserve"> uncovered above it a large building, which she called the Large Stone Structure and identified as David's palace (compare 2 Sam 5:11).</w:t>
      </w:r>
      <w:r>
        <w:rPr>
          <w:vertAlign w:val="superscript"/>
        </w:rPr>
        <w:t>58</w:t>
      </w:r>
      <w:r>
        <w:t xml:space="preserve"> Many scholars think the two structures formed a single large complex of the tenth or early ninth century BC. Finkelstein and others dispute the date and the interpretation and assign parts of it to later periods.</w:t>
      </w:r>
      <w:r>
        <w:rPr>
          <w:vertAlign w:val="superscript"/>
        </w:rPr>
        <w:t>59</w:t>
      </w:r>
    </w:p>
    <w:p w:rsidR="008E4B08" w:rsidRDefault="00C51EF0">
      <w:pPr>
        <w:spacing w:line="480" w:lineRule="auto"/>
        <w:ind w:firstLine="720"/>
        <w:jc w:val="both"/>
      </w:pPr>
      <w:r>
        <w:t>Recent radiocarbon work in Jerusalem suggests that some building on the eastern slope may date to the tenth century or earlier. The debate continues, but the evidence for a significant settlement in Jerusalem in the tenth century is stronger than minimalist scholars once allowed, even if the evidence for a grand capital remains limited.</w:t>
      </w:r>
    </w:p>
    <w:p w:rsidR="008E4B08" w:rsidRDefault="00C51EF0">
      <w:pPr>
        <w:pStyle w:val="Heading2"/>
        <w:keepNext/>
        <w:spacing w:before="240" w:after="120" w:line="360" w:lineRule="auto"/>
      </w:pPr>
      <w:bookmarkStart w:id="110" w:name="_Toc241908471"/>
      <w:r>
        <w:t xml:space="preserve">8.7 Khirbet </w:t>
      </w:r>
      <w:proofErr w:type="spellStart"/>
      <w:r>
        <w:t>Qeiyafa</w:t>
      </w:r>
      <w:bookmarkEnd w:id="110"/>
      <w:proofErr w:type="spellEnd"/>
    </w:p>
    <w:p w:rsidR="008E4B08" w:rsidRDefault="00C51EF0">
      <w:pPr>
        <w:spacing w:line="480" w:lineRule="auto"/>
        <w:jc w:val="both"/>
      </w:pPr>
      <w:r>
        <w:t xml:space="preserve">Between 2007 and 2013, Yosef </w:t>
      </w:r>
      <w:proofErr w:type="spellStart"/>
      <w:r>
        <w:t>Garfinkel</w:t>
      </w:r>
      <w:proofErr w:type="spellEnd"/>
      <w:r>
        <w:t xml:space="preserve"> and Saar </w:t>
      </w:r>
      <w:proofErr w:type="spellStart"/>
      <w:r>
        <w:t>Ganor</w:t>
      </w:r>
      <w:proofErr w:type="spellEnd"/>
      <w:r>
        <w:t xml:space="preserve"> excavated Khirbet </w:t>
      </w:r>
      <w:proofErr w:type="spellStart"/>
      <w:r>
        <w:t>Qeiyafa</w:t>
      </w:r>
      <w:proofErr w:type="spellEnd"/>
      <w:r>
        <w:t xml:space="preserve">, a fortified town overlooking the Valley of </w:t>
      </w:r>
      <w:proofErr w:type="spellStart"/>
      <w:r>
        <w:t>Elah</w:t>
      </w:r>
      <w:proofErr w:type="spellEnd"/>
      <w:r>
        <w:t xml:space="preserve">, where David fought Goliath (1 Sam 17). The town was lived in for a short time in the late eleventh or early tenth century BC, as shown by radiocarbon dates from burnt olive stones. It had a double city wall with rooms inside it (a </w:t>
      </w:r>
      <w:r>
        <w:lastRenderedPageBreak/>
        <w:t xml:space="preserve">casemate wall) and two gates. Because of the two gates, some identify it with the biblical town of </w:t>
      </w:r>
      <w:proofErr w:type="spellStart"/>
      <w:r>
        <w:t>Shaaraim</w:t>
      </w:r>
      <w:proofErr w:type="spellEnd"/>
      <w:r>
        <w:t>, which means "two gates" (1 Sam 17:52).</w:t>
      </w:r>
      <w:r>
        <w:rPr>
          <w:vertAlign w:val="superscript"/>
        </w:rPr>
        <w:t>60</w:t>
      </w:r>
    </w:p>
    <w:p w:rsidR="008E4B08" w:rsidRDefault="00C51EF0">
      <w:pPr>
        <w:spacing w:line="480" w:lineRule="auto"/>
        <w:ind w:firstLine="720"/>
        <w:jc w:val="both"/>
      </w:pPr>
      <w:r>
        <w:t>The excavators argue that the absence of pig bones and of idols, together with the town plan, show that it was a town of Judah, and that it proves there was an organised government in Judah in David's time. An inscription on a piece of pottery found there may be one of the earliest Hebrew inscriptions, though its language and meaning are debated. Other scholars think the town belonged to a Canaanite or Philistine power, or to a northern Israelite group linked with Saul.</w:t>
      </w:r>
      <w:r>
        <w:rPr>
          <w:vertAlign w:val="superscript"/>
        </w:rPr>
        <w:t>61</w:t>
      </w:r>
      <w:r>
        <w:t xml:space="preserve"> Whatever its identity, Khirbet </w:t>
      </w:r>
      <w:proofErr w:type="spellStart"/>
      <w:r>
        <w:t>Qeiyafa</w:t>
      </w:r>
      <w:proofErr w:type="spellEnd"/>
      <w:r>
        <w:t xml:space="preserve"> shows that fortified towns existed in the area at the start of the tenth century.</w:t>
      </w:r>
    </w:p>
    <w:p w:rsidR="008E4B08" w:rsidRDefault="00C51EF0">
      <w:pPr>
        <w:pStyle w:val="Heading2"/>
        <w:keepNext/>
        <w:spacing w:before="240" w:after="120" w:line="360" w:lineRule="auto"/>
      </w:pPr>
      <w:bookmarkStart w:id="111" w:name="_Toc241908472"/>
      <w:r>
        <w:t>8.8 Copper, Edom and Political Power</w:t>
      </w:r>
      <w:bookmarkEnd w:id="111"/>
    </w:p>
    <w:p w:rsidR="008E4B08" w:rsidRDefault="00C51EF0">
      <w:pPr>
        <w:spacing w:line="480" w:lineRule="auto"/>
        <w:jc w:val="both"/>
      </w:pPr>
      <w:r>
        <w:t xml:space="preserve">Excavations by Thomas Levy and </w:t>
      </w:r>
      <w:proofErr w:type="spellStart"/>
      <w:r>
        <w:t>Erez</w:t>
      </w:r>
      <w:proofErr w:type="spellEnd"/>
      <w:r>
        <w:t xml:space="preserve"> Ben-Yosef in the copper-mining regions of </w:t>
      </w:r>
      <w:proofErr w:type="spellStart"/>
      <w:r>
        <w:t>Faynan</w:t>
      </w:r>
      <w:proofErr w:type="spellEnd"/>
      <w:r>
        <w:t xml:space="preserve"> in Jordan and </w:t>
      </w:r>
      <w:proofErr w:type="spellStart"/>
      <w:r>
        <w:t>Timna</w:t>
      </w:r>
      <w:proofErr w:type="spellEnd"/>
      <w:r>
        <w:t xml:space="preserve"> in Israel show that copper production reached an industrial scale in the eleventh to ninth centuries BC. Ben-Yosef argues that this industry was run by a society that was largely nomadic and left few permanent buildings. He suggests that archaeologists have been biased towards buildings as the main sign of political power. A society that lived mostly in tents could still form a powerful kingdom. This insight matters for early Israel and the kingdom of David: the lack of large buildings does not necessarily mean the lack of a significant kingdom.</w:t>
      </w:r>
      <w:r>
        <w:rPr>
          <w:vertAlign w:val="superscript"/>
        </w:rPr>
        <w:t>62</w:t>
      </w:r>
    </w:p>
    <w:p w:rsidR="008E4B08" w:rsidRDefault="00C51EF0">
      <w:pPr>
        <w:spacing w:line="480" w:lineRule="auto"/>
        <w:ind w:firstLine="720"/>
        <w:jc w:val="both"/>
      </w:pPr>
      <w:r>
        <w:rPr>
          <w:b/>
          <w:bCs/>
        </w:rPr>
        <w:t>Example.</w:t>
      </w:r>
      <w:r>
        <w:t xml:space="preserve"> The Fulani pastoralists of West Africa have long moved with their herds and built few permanent towns, yet in the nineteenth century leaders from among them founded the powerful </w:t>
      </w:r>
      <w:proofErr w:type="spellStart"/>
      <w:r>
        <w:t>Sokoto</w:t>
      </w:r>
      <w:proofErr w:type="spellEnd"/>
      <w:r>
        <w:t xml:space="preserve"> Caliphate. A future archaeologist who judged political power only by stone buildings might underestimate such societies. Ben-Yosef warns against the same mistake in judging ancient Israel and Edom.</w:t>
      </w:r>
    </w:p>
    <w:p w:rsidR="008E4B08" w:rsidRDefault="00C51EF0">
      <w:pPr>
        <w:pStyle w:val="Heading2"/>
        <w:keepNext/>
        <w:spacing w:before="240" w:after="120" w:line="360" w:lineRule="auto"/>
      </w:pPr>
      <w:bookmarkStart w:id="112" w:name="_Toc241908473"/>
      <w:r>
        <w:lastRenderedPageBreak/>
        <w:t>8.9 Solomon's Temple</w:t>
      </w:r>
      <w:bookmarkEnd w:id="112"/>
    </w:p>
    <w:p w:rsidR="008E4B08" w:rsidRDefault="00C51EF0">
      <w:pPr>
        <w:spacing w:line="480" w:lineRule="auto"/>
        <w:jc w:val="both"/>
      </w:pPr>
      <w:r>
        <w:t xml:space="preserve">No remains of Solomon's temple have been found, and excavation on the Temple Mount is impossible. However, temples with a similar three-part plan (porch, main hall and inner sanctuary) are known from Syria, especially at 'Ain Dara and Tell </w:t>
      </w:r>
      <w:proofErr w:type="spellStart"/>
      <w:r>
        <w:t>Tayinat</w:t>
      </w:r>
      <w:proofErr w:type="spellEnd"/>
      <w:r>
        <w:t>. The 'Ain Dara temple, from the tenth to the eighth centuries BC, has a plan and decorations very close to the description in 1 Kings 6–7.</w:t>
      </w:r>
      <w:r>
        <w:rPr>
          <w:vertAlign w:val="superscript"/>
        </w:rPr>
        <w:t>63</w:t>
      </w:r>
      <w:r>
        <w:t xml:space="preserve"> Such parallels show that the biblical description reflects real Iron Age buildings, not a later fantasy. A smaller temple at Tel </w:t>
      </w:r>
      <w:proofErr w:type="spellStart"/>
      <w:r>
        <w:t>Moza</w:t>
      </w:r>
      <w:proofErr w:type="spellEnd"/>
      <w:r>
        <w:t xml:space="preserve"> near Jerusalem from the early Iron Age II shows that Judah also had local shrines during the monarchy.</w:t>
      </w:r>
    </w:p>
    <w:p w:rsidR="008E4B08" w:rsidRDefault="00C51EF0">
      <w:pPr>
        <w:pStyle w:val="Heading2"/>
        <w:keepNext/>
        <w:spacing w:before="240" w:after="120" w:line="360" w:lineRule="auto"/>
      </w:pPr>
      <w:bookmarkStart w:id="113" w:name="_Toc241908474"/>
      <w:r>
        <w:t>8.10 Assessment</w:t>
      </w:r>
      <w:bookmarkEnd w:id="113"/>
    </w:p>
    <w:p w:rsidR="008E4B08" w:rsidRDefault="00C51EF0">
      <w:pPr>
        <w:spacing w:line="480" w:lineRule="auto"/>
        <w:jc w:val="both"/>
      </w:pPr>
      <w:r>
        <w:t>Several conclusions may be drawn:</w:t>
      </w:r>
    </w:p>
    <w:p w:rsidR="008E4B08" w:rsidRDefault="00C51EF0">
      <w:pPr>
        <w:tabs>
          <w:tab w:val="left" w:pos="720"/>
        </w:tabs>
        <w:spacing w:line="480" w:lineRule="auto"/>
        <w:ind w:left="720" w:hanging="360"/>
        <w:jc w:val="both"/>
      </w:pPr>
      <w:r>
        <w:t>1.</w:t>
      </w:r>
      <w:r>
        <w:tab/>
        <w:t>David was a historical person. The Tel Dan inscription shows that Judah's royal family was known by his name within about 150 years of his reign.</w:t>
      </w:r>
    </w:p>
    <w:p w:rsidR="008E4B08" w:rsidRDefault="00C51EF0">
      <w:pPr>
        <w:tabs>
          <w:tab w:val="left" w:pos="720"/>
        </w:tabs>
        <w:spacing w:line="480" w:lineRule="auto"/>
        <w:ind w:left="720" w:hanging="360"/>
        <w:jc w:val="both"/>
      </w:pPr>
      <w:r>
        <w:t>2.</w:t>
      </w:r>
      <w:r>
        <w:tab/>
        <w:t xml:space="preserve">The size of the </w:t>
      </w:r>
      <w:proofErr w:type="gramStart"/>
      <w:r>
        <w:t>united kingdom</w:t>
      </w:r>
      <w:proofErr w:type="gramEnd"/>
      <w:r>
        <w:t xml:space="preserve"> remains disputed. The Bible emphasises Solomon's wealth and buildings, but the evidence for large tenth-century buildings in Jerusalem is limited and contested.</w:t>
      </w:r>
    </w:p>
    <w:p w:rsidR="008E4B08" w:rsidRDefault="00C51EF0">
      <w:pPr>
        <w:tabs>
          <w:tab w:val="left" w:pos="720"/>
        </w:tabs>
        <w:spacing w:line="480" w:lineRule="auto"/>
        <w:ind w:left="720" w:hanging="360"/>
        <w:jc w:val="both"/>
      </w:pPr>
      <w:r>
        <w:t>3.</w:t>
      </w:r>
      <w:r>
        <w:tab/>
        <w:t xml:space="preserve">The dating of key layers cannot be settled by pottery alone, and the earlier dependence on the Bible for dating must be admitted. At the same time, the low chronology has itself been modified, and new discoveries such as Khirbet </w:t>
      </w:r>
      <w:proofErr w:type="spellStart"/>
      <w:r>
        <w:t>Qeiyafa</w:t>
      </w:r>
      <w:proofErr w:type="spellEnd"/>
      <w:r>
        <w:t xml:space="preserve"> and the copper industry have challenged the idea that the tenth century was too primitive for the kingdom described in Samuel and Kings.</w:t>
      </w:r>
    </w:p>
    <w:p w:rsidR="008E4B08" w:rsidRDefault="00C51EF0">
      <w:pPr>
        <w:tabs>
          <w:tab w:val="left" w:pos="720"/>
        </w:tabs>
        <w:spacing w:line="480" w:lineRule="auto"/>
        <w:ind w:left="720" w:hanging="360"/>
        <w:jc w:val="both"/>
      </w:pPr>
      <w:r>
        <w:t>4.</w:t>
      </w:r>
      <w:r>
        <w:tab/>
        <w:t xml:space="preserve">The Bible must be read for what it is: a theological history that, like other ancient royal histories, may present the king in an </w:t>
      </w:r>
      <w:proofErr w:type="spellStart"/>
      <w:r>
        <w:t>idealised</w:t>
      </w:r>
      <w:proofErr w:type="spellEnd"/>
      <w:r>
        <w:t xml:space="preserve"> way, but which also includes honest and unflattering material about David and Solomon that is hard to explain as mere propaganda.</w:t>
      </w:r>
    </w:p>
    <w:p w:rsidR="008E4B08" w:rsidRDefault="00C51EF0">
      <w:pPr>
        <w:pStyle w:val="Heading2"/>
        <w:keepNext/>
        <w:spacing w:before="240" w:after="120" w:line="360" w:lineRule="auto"/>
      </w:pPr>
      <w:bookmarkStart w:id="114" w:name="_Toc241908475"/>
      <w:r>
        <w:lastRenderedPageBreak/>
        <w:t>8.11 Summary</w:t>
      </w:r>
      <w:bookmarkEnd w:id="114"/>
    </w:p>
    <w:p w:rsidR="008E4B08" w:rsidRDefault="00C51EF0">
      <w:pPr>
        <w:spacing w:line="480" w:lineRule="auto"/>
        <w:jc w:val="both"/>
      </w:pPr>
      <w:r>
        <w:t xml:space="preserve">The united kingdom of David and Solomon is the focus of intense debate. Inscriptions confirm that David existed and founded Judah's royal family. The low chronology challenged the link between large buildings and Solomon, and the dating of the tenth century remains disputed, though the two sides have moved closer. Evidence from Jerusalem, Khirbet </w:t>
      </w:r>
      <w:proofErr w:type="spellStart"/>
      <w:r>
        <w:t>Qeiyafa</w:t>
      </w:r>
      <w:proofErr w:type="spellEnd"/>
      <w:r>
        <w:t xml:space="preserve"> and the copper mines suggests more development in the tenth century than minimalists allowed. The final picture depends on combining radiocarbon dates, regional evidence and a careful reading of the Bible.</w:t>
      </w:r>
    </w:p>
    <w:p w:rsidR="008E4B08" w:rsidRDefault="00C51EF0">
      <w:pPr>
        <w:pStyle w:val="Heading2"/>
        <w:keepNext/>
        <w:spacing w:before="240" w:after="120" w:line="360" w:lineRule="auto"/>
      </w:pPr>
      <w:bookmarkStart w:id="115" w:name="_Toc241908476"/>
      <w:r>
        <w:t>8.12 Life Application</w:t>
      </w:r>
      <w:bookmarkEnd w:id="115"/>
    </w:p>
    <w:p w:rsidR="008E4B08" w:rsidRDefault="00C51EF0">
      <w:pPr>
        <w:spacing w:line="480" w:lineRule="auto"/>
        <w:jc w:val="both"/>
      </w:pPr>
      <w:r>
        <w:t>The debates about David and Solomon are not only about stones and dates. They raise questions about leadership, legacy and the faithfulness of God's promises.</w:t>
      </w:r>
    </w:p>
    <w:p w:rsidR="008E4B08" w:rsidRDefault="00C51EF0">
      <w:pPr>
        <w:pStyle w:val="ListParagraph"/>
        <w:numPr>
          <w:ilvl w:val="0"/>
          <w:numId w:val="2"/>
        </w:numPr>
        <w:spacing w:line="480" w:lineRule="auto"/>
        <w:jc w:val="both"/>
      </w:pPr>
      <w:r>
        <w:rPr>
          <w:b/>
          <w:bCs/>
        </w:rPr>
        <w:t>God keeps his promises.</w:t>
      </w:r>
      <w:r>
        <w:t xml:space="preserve"> An Aramaean king, an enemy of Israel, unknowingly bore witness to the "House of David". God's covenant with David is fulfilled in Jesus, the Son of David (Luke 1:32–33).</w:t>
      </w:r>
    </w:p>
    <w:p w:rsidR="008E4B08" w:rsidRDefault="00C51EF0">
      <w:pPr>
        <w:pStyle w:val="ListParagraph"/>
        <w:numPr>
          <w:ilvl w:val="0"/>
          <w:numId w:val="2"/>
        </w:numPr>
        <w:spacing w:line="480" w:lineRule="auto"/>
        <w:jc w:val="both"/>
      </w:pPr>
      <w:r>
        <w:rPr>
          <w:b/>
          <w:bCs/>
        </w:rPr>
        <w:t>Greatness is measured by faithfulness.</w:t>
      </w:r>
      <w:r>
        <w:t xml:space="preserve"> Whether Solomon's buildings were large or modest, Scripture judges kings by their faithfulness to God. Christian leaders should seek faithfulness rather than impressive buildings.</w:t>
      </w:r>
    </w:p>
    <w:p w:rsidR="008E4B08" w:rsidRDefault="00C51EF0">
      <w:pPr>
        <w:pStyle w:val="ListParagraph"/>
        <w:numPr>
          <w:ilvl w:val="0"/>
          <w:numId w:val="2"/>
        </w:numPr>
        <w:spacing w:line="480" w:lineRule="auto"/>
        <w:jc w:val="both"/>
      </w:pPr>
      <w:r>
        <w:rPr>
          <w:b/>
          <w:bCs/>
        </w:rPr>
        <w:t>Leadership must be accountable.</w:t>
      </w:r>
      <w:r>
        <w:t xml:space="preserve"> The Bible records the sins of David and Solomon honestly. Church leaders must welcome accountability and must not hide behind their achievements.</w:t>
      </w:r>
    </w:p>
    <w:p w:rsidR="008E4B08" w:rsidRDefault="00C51EF0">
      <w:pPr>
        <w:pStyle w:val="ListParagraph"/>
        <w:numPr>
          <w:ilvl w:val="0"/>
          <w:numId w:val="2"/>
        </w:numPr>
        <w:spacing w:line="480" w:lineRule="auto"/>
        <w:jc w:val="both"/>
      </w:pPr>
      <w:r>
        <w:rPr>
          <w:b/>
          <w:bCs/>
        </w:rPr>
        <w:t>Do not despise small beginnings.</w:t>
      </w:r>
      <w:r>
        <w:t xml:space="preserve"> A kingdom need not leave grand monuments to be significant. God often works through what seems small in the eyes of the world (</w:t>
      </w:r>
      <w:proofErr w:type="spellStart"/>
      <w:r>
        <w:t>Zech</w:t>
      </w:r>
      <w:proofErr w:type="spellEnd"/>
      <w:r>
        <w:t xml:space="preserve"> 4:10).</w:t>
      </w:r>
    </w:p>
    <w:p w:rsidR="008E4B08" w:rsidRDefault="00C51EF0">
      <w:pPr>
        <w:pStyle w:val="Heading3"/>
        <w:keepNext/>
        <w:spacing w:before="120" w:after="60" w:line="360" w:lineRule="auto"/>
      </w:pPr>
      <w:r>
        <w:lastRenderedPageBreak/>
        <w:t>Prayer</w:t>
      </w:r>
    </w:p>
    <w:p w:rsidR="008E4B08" w:rsidRDefault="00C51EF0">
      <w:pPr>
        <w:spacing w:line="480" w:lineRule="auto"/>
        <w:ind w:left="360" w:right="360"/>
        <w:jc w:val="both"/>
      </w:pPr>
      <w:r>
        <w:rPr>
          <w:i/>
          <w:iCs/>
        </w:rPr>
        <w:t>Faithful God, thank you that your promise to David is fulfilled in Jesus Christ, the King of kings. Make me a leader after your own heart, faithful in small things, honest about my failures and accountable to others. Keep me from seeking my own glory, and let my work point to your kingdom. In Jesus' name. Amen.</w:t>
      </w:r>
    </w:p>
    <w:p w:rsidR="008E4B08" w:rsidRDefault="00C51EF0">
      <w:pPr>
        <w:pStyle w:val="Heading2"/>
        <w:keepNext/>
        <w:spacing w:before="240" w:after="120" w:line="360" w:lineRule="auto"/>
      </w:pPr>
      <w:bookmarkStart w:id="116" w:name="_Toc241908477"/>
      <w:r>
        <w:t>8.13 Discussion Questions</w:t>
      </w:r>
      <w:bookmarkEnd w:id="116"/>
    </w:p>
    <w:p w:rsidR="008E4B08" w:rsidRDefault="00C51EF0">
      <w:pPr>
        <w:tabs>
          <w:tab w:val="left" w:pos="720"/>
        </w:tabs>
        <w:spacing w:line="480" w:lineRule="auto"/>
        <w:ind w:left="720" w:hanging="360"/>
        <w:jc w:val="both"/>
      </w:pPr>
      <w:r>
        <w:t>1.</w:t>
      </w:r>
      <w:r>
        <w:tab/>
        <w:t>What is the importance of the Tel Dan inscription for the history of Israel and Judah?</w:t>
      </w:r>
    </w:p>
    <w:p w:rsidR="008E4B08" w:rsidRDefault="00C51EF0">
      <w:pPr>
        <w:tabs>
          <w:tab w:val="left" w:pos="720"/>
        </w:tabs>
        <w:spacing w:line="480" w:lineRule="auto"/>
        <w:ind w:left="720" w:hanging="360"/>
        <w:jc w:val="both"/>
      </w:pPr>
      <w:r>
        <w:t>2.</w:t>
      </w:r>
      <w:r>
        <w:tab/>
        <w:t>Explain the low chronology and assess its effect on our understanding of Solomon's reign.</w:t>
      </w:r>
    </w:p>
    <w:p w:rsidR="008E4B08" w:rsidRDefault="00C51EF0">
      <w:pPr>
        <w:tabs>
          <w:tab w:val="left" w:pos="720"/>
        </w:tabs>
        <w:spacing w:line="480" w:lineRule="auto"/>
        <w:ind w:left="720" w:hanging="360"/>
        <w:jc w:val="both"/>
      </w:pPr>
      <w:r>
        <w:t>3.</w:t>
      </w:r>
      <w:r>
        <w:tab/>
        <w:t xml:space="preserve">Evaluate the claim that Khirbet </w:t>
      </w:r>
      <w:proofErr w:type="spellStart"/>
      <w:r>
        <w:t>Qeiyafa</w:t>
      </w:r>
      <w:proofErr w:type="spellEnd"/>
      <w:r>
        <w:t xml:space="preserve"> provides evidence for the kingdom of David.</w:t>
      </w:r>
    </w:p>
    <w:p w:rsidR="008E4B08" w:rsidRDefault="00C51EF0">
      <w:pPr>
        <w:tabs>
          <w:tab w:val="left" w:pos="720"/>
        </w:tabs>
        <w:spacing w:line="480" w:lineRule="auto"/>
        <w:ind w:left="720" w:hanging="360"/>
        <w:jc w:val="both"/>
      </w:pPr>
      <w:r>
        <w:t>4.</w:t>
      </w:r>
      <w:r>
        <w:tab/>
        <w:t>Discuss Ben-Yosef's argument about "architectural bias", using an African example.</w:t>
      </w:r>
    </w:p>
    <w:p w:rsidR="008E4B08" w:rsidRDefault="00C51EF0">
      <w:pPr>
        <w:pStyle w:val="Heading2"/>
        <w:keepNext/>
        <w:spacing w:before="240" w:after="120" w:line="360" w:lineRule="auto"/>
      </w:pPr>
      <w:bookmarkStart w:id="117" w:name="_Toc241908478"/>
      <w:r>
        <w:t>8.14 Further Reading</w:t>
      </w:r>
      <w:bookmarkEnd w:id="117"/>
    </w:p>
    <w:p w:rsidR="008E4B08" w:rsidRDefault="00C51EF0">
      <w:pPr>
        <w:spacing w:after="160"/>
        <w:ind w:left="720" w:hanging="720"/>
      </w:pPr>
      <w:r>
        <w:t xml:space="preserve">Finkelstein, Israel, and Neil Asher Silberman. </w:t>
      </w:r>
      <w:r>
        <w:rPr>
          <w:i/>
          <w:iCs/>
        </w:rPr>
        <w:t>David and Solomon</w:t>
      </w:r>
      <w:r>
        <w:t>. New York: Free Press, 2006.</w:t>
      </w:r>
    </w:p>
    <w:p w:rsidR="008E4B08" w:rsidRDefault="00C51EF0">
      <w:pPr>
        <w:spacing w:after="160"/>
        <w:ind w:left="720" w:hanging="720"/>
      </w:pPr>
      <w:proofErr w:type="spellStart"/>
      <w:r>
        <w:t>Garfinkel</w:t>
      </w:r>
      <w:proofErr w:type="spellEnd"/>
      <w:r>
        <w:t xml:space="preserve">, Yosef, Igor </w:t>
      </w:r>
      <w:proofErr w:type="spellStart"/>
      <w:r>
        <w:t>Kreimerman</w:t>
      </w:r>
      <w:proofErr w:type="spellEnd"/>
      <w:r>
        <w:t xml:space="preserve">, and Peter </w:t>
      </w:r>
      <w:proofErr w:type="spellStart"/>
      <w:r>
        <w:t>Zilberg</w:t>
      </w:r>
      <w:proofErr w:type="spellEnd"/>
      <w:r>
        <w:t xml:space="preserve">. </w:t>
      </w:r>
      <w:r>
        <w:rPr>
          <w:i/>
          <w:iCs/>
        </w:rPr>
        <w:t xml:space="preserve">Debating Khirbet </w:t>
      </w:r>
      <w:proofErr w:type="spellStart"/>
      <w:r>
        <w:rPr>
          <w:i/>
          <w:iCs/>
        </w:rPr>
        <w:t>Qeiyafa</w:t>
      </w:r>
      <w:proofErr w:type="spellEnd"/>
      <w:r>
        <w:t>. Jerusalem: Israel Exploration Society, 2016.</w:t>
      </w:r>
    </w:p>
    <w:p w:rsidR="008E4B08" w:rsidRDefault="00C51EF0">
      <w:pPr>
        <w:spacing w:after="160"/>
        <w:ind w:left="720" w:hanging="720"/>
      </w:pPr>
      <w:proofErr w:type="spellStart"/>
      <w:r>
        <w:t>Mazar</w:t>
      </w:r>
      <w:proofErr w:type="spellEnd"/>
      <w:r>
        <w:t xml:space="preserve">, </w:t>
      </w:r>
      <w:proofErr w:type="spellStart"/>
      <w:r>
        <w:t>Amihai</w:t>
      </w:r>
      <w:proofErr w:type="spellEnd"/>
      <w:r>
        <w:t xml:space="preserve">. </w:t>
      </w:r>
      <w:r>
        <w:rPr>
          <w:i/>
          <w:iCs/>
        </w:rPr>
        <w:t>Archaeology of the Land of the Bible, 10,000–586 B.C.E.</w:t>
      </w:r>
      <w:r>
        <w:t xml:space="preserve"> New York: Doubleday, 1990.</w:t>
      </w:r>
    </w:p>
    <w:p w:rsidR="008E4B08" w:rsidRDefault="00C51EF0">
      <w:pPr>
        <w:pStyle w:val="Heading1"/>
        <w:pageBreakBefore/>
        <w:spacing w:after="360" w:line="360" w:lineRule="auto"/>
        <w:jc w:val="center"/>
      </w:pPr>
      <w:bookmarkStart w:id="118" w:name="_Toc241908479"/>
      <w:r>
        <w:lastRenderedPageBreak/>
        <w:t>UNIT NINE: THE DIVIDED KINGDOM, THE EXILE AND THE RETURN</w:t>
      </w:r>
      <w:bookmarkEnd w:id="118"/>
    </w:p>
    <w:p w:rsidR="008E4B08" w:rsidRDefault="00C51EF0">
      <w:pPr>
        <w:pStyle w:val="Heading2"/>
        <w:keepNext/>
        <w:spacing w:before="240" w:after="120" w:line="360" w:lineRule="auto"/>
      </w:pPr>
      <w:bookmarkStart w:id="119" w:name="_Toc241908480"/>
      <w:r>
        <w:t>9.1 Introduction</w:t>
      </w:r>
      <w:bookmarkEnd w:id="119"/>
    </w:p>
    <w:p w:rsidR="008E4B08" w:rsidRDefault="00C51EF0">
      <w:pPr>
        <w:spacing w:line="480" w:lineRule="auto"/>
        <w:jc w:val="both"/>
      </w:pPr>
      <w:r>
        <w:t>From the division of the kingdom after Solomon's death to the return from exile in Babylon, the Bible can be compared with a large amount of outside evidence. The records of Assyria, Babylon and Persia mention kings of Israel and Judah by name. Excavations in Israel have produced inscriptions, seals and destroyed cities that relate directly to events in Kings, Chronicles and the prophets. This period gives the clearest examples of agreement between the Bible and archaeology. This unit surveys the main discoveries in historical order.</w:t>
      </w:r>
    </w:p>
    <w:p w:rsidR="008E4B08" w:rsidRDefault="00C51EF0">
      <w:pPr>
        <w:pStyle w:val="Heading2"/>
        <w:keepNext/>
        <w:spacing w:before="240" w:after="120" w:line="360" w:lineRule="auto"/>
      </w:pPr>
      <w:bookmarkStart w:id="120" w:name="_Toc241908481"/>
      <w:r>
        <w:t>9.2 Learning Objectives</w:t>
      </w:r>
      <w:bookmarkEnd w:id="120"/>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name the main inscriptions that mention kings of Israel and Judah;</w:t>
      </w:r>
    </w:p>
    <w:p w:rsidR="008E4B08" w:rsidRDefault="00C51EF0">
      <w:pPr>
        <w:pStyle w:val="ListParagraph"/>
        <w:numPr>
          <w:ilvl w:val="0"/>
          <w:numId w:val="2"/>
        </w:numPr>
        <w:spacing w:line="480" w:lineRule="auto"/>
        <w:jc w:val="both"/>
      </w:pPr>
      <w:r>
        <w:t>describe the archaeology of the Assyrian conquest of Israel and of Sennacherib's campaign against Judah;</w:t>
      </w:r>
    </w:p>
    <w:p w:rsidR="008E4B08" w:rsidRDefault="00C51EF0">
      <w:pPr>
        <w:pStyle w:val="ListParagraph"/>
        <w:numPr>
          <w:ilvl w:val="0"/>
          <w:numId w:val="2"/>
        </w:numPr>
        <w:spacing w:line="480" w:lineRule="auto"/>
        <w:jc w:val="both"/>
      </w:pPr>
      <w:r>
        <w:t>explain the evidence for the Babylonian destruction of Judah and the exile; and</w:t>
      </w:r>
    </w:p>
    <w:p w:rsidR="008E4B08" w:rsidRDefault="00C51EF0">
      <w:pPr>
        <w:pStyle w:val="ListParagraph"/>
        <w:numPr>
          <w:ilvl w:val="0"/>
          <w:numId w:val="2"/>
        </w:numPr>
        <w:spacing w:line="480" w:lineRule="auto"/>
        <w:jc w:val="both"/>
      </w:pPr>
      <w:proofErr w:type="gramStart"/>
      <w:r>
        <w:t>assess</w:t>
      </w:r>
      <w:proofErr w:type="gramEnd"/>
      <w:r>
        <w:t xml:space="preserve"> the evidence for the Persian period and the return.</w:t>
      </w:r>
    </w:p>
    <w:p w:rsidR="008E4B08" w:rsidRDefault="00C51EF0">
      <w:pPr>
        <w:pStyle w:val="Heading2"/>
        <w:keepNext/>
        <w:spacing w:before="240" w:after="120" w:line="360" w:lineRule="auto"/>
      </w:pPr>
      <w:bookmarkStart w:id="121" w:name="_Toc241908482"/>
      <w:r>
        <w:t>9.3 The Northern Kingdom of Israel</w:t>
      </w:r>
      <w:bookmarkEnd w:id="121"/>
    </w:p>
    <w:p w:rsidR="008E4B08" w:rsidRDefault="00C51EF0">
      <w:pPr>
        <w:pStyle w:val="Heading3"/>
        <w:keepNext/>
        <w:spacing w:before="120" w:after="60" w:line="360" w:lineRule="auto"/>
      </w:pPr>
      <w:r>
        <w:t xml:space="preserve">9.3.1 </w:t>
      </w:r>
      <w:proofErr w:type="spellStart"/>
      <w:r>
        <w:t>Omri</w:t>
      </w:r>
      <w:proofErr w:type="spellEnd"/>
      <w:r>
        <w:t xml:space="preserve"> and His Dynasty</w:t>
      </w:r>
    </w:p>
    <w:p w:rsidR="008E4B08" w:rsidRDefault="00C51EF0">
      <w:pPr>
        <w:spacing w:line="480" w:lineRule="auto"/>
        <w:jc w:val="both"/>
      </w:pPr>
      <w:r>
        <w:t xml:space="preserve">The Bible condemns </w:t>
      </w:r>
      <w:proofErr w:type="spellStart"/>
      <w:r>
        <w:t>Omri</w:t>
      </w:r>
      <w:proofErr w:type="spellEnd"/>
      <w:r>
        <w:t xml:space="preserve"> and his son Ahab for idolatry, and gives </w:t>
      </w:r>
      <w:proofErr w:type="spellStart"/>
      <w:r>
        <w:t>Omri's</w:t>
      </w:r>
      <w:proofErr w:type="spellEnd"/>
      <w:r>
        <w:t xml:space="preserve"> reign only eight verses (1 Kgs 16:21–28). Yet outside sources show that </w:t>
      </w:r>
      <w:proofErr w:type="spellStart"/>
      <w:r>
        <w:t>Omri</w:t>
      </w:r>
      <w:proofErr w:type="spellEnd"/>
      <w:r>
        <w:t xml:space="preserve"> founded one of the most powerful dynasties of the ninth century BC. Assyrian texts continued to call Israel "the House of </w:t>
      </w:r>
      <w:proofErr w:type="spellStart"/>
      <w:r>
        <w:t>Omri</w:t>
      </w:r>
      <w:proofErr w:type="spellEnd"/>
      <w:r>
        <w:t>" long after his family had lost the throne.</w:t>
      </w:r>
    </w:p>
    <w:p w:rsidR="008E4B08" w:rsidRDefault="00C51EF0">
      <w:pPr>
        <w:spacing w:line="480" w:lineRule="auto"/>
        <w:ind w:firstLine="720"/>
        <w:jc w:val="both"/>
      </w:pPr>
      <w:r>
        <w:t xml:space="preserve">The </w:t>
      </w:r>
      <w:proofErr w:type="spellStart"/>
      <w:r>
        <w:t>Mesha</w:t>
      </w:r>
      <w:proofErr w:type="spellEnd"/>
      <w:r>
        <w:t xml:space="preserve"> Inscription, or Moabite Stone, found at </w:t>
      </w:r>
      <w:proofErr w:type="spellStart"/>
      <w:r>
        <w:t>Dhiban</w:t>
      </w:r>
      <w:proofErr w:type="spellEnd"/>
      <w:r>
        <w:t xml:space="preserve"> in Jordan in 1868, tells how </w:t>
      </w:r>
      <w:proofErr w:type="spellStart"/>
      <w:r>
        <w:t>Mesha</w:t>
      </w:r>
      <w:proofErr w:type="spellEnd"/>
      <w:r>
        <w:t xml:space="preserve">, king of Moab, freed his land from Israel. It says that </w:t>
      </w:r>
      <w:proofErr w:type="spellStart"/>
      <w:r>
        <w:t>Omri</w:t>
      </w:r>
      <w:proofErr w:type="spellEnd"/>
      <w:r>
        <w:t xml:space="preserve"> had oppressed Moab "many </w:t>
      </w:r>
      <w:r>
        <w:lastRenderedPageBreak/>
        <w:t xml:space="preserve">days" and that his son continued to do so, until the god </w:t>
      </w:r>
      <w:proofErr w:type="spellStart"/>
      <w:r>
        <w:t>Chemosh</w:t>
      </w:r>
      <w:proofErr w:type="spellEnd"/>
      <w:r>
        <w:t xml:space="preserve"> delivered Moab. This matches 2 Kings 3, which describes </w:t>
      </w:r>
      <w:proofErr w:type="spellStart"/>
      <w:r>
        <w:t>Mesha's</w:t>
      </w:r>
      <w:proofErr w:type="spellEnd"/>
      <w:r>
        <w:t xml:space="preserve"> rebellion after Ahab's death, though from the opposite point of view. The inscription also mentions Yahweh, the God of Israel, and says that </w:t>
      </w:r>
      <w:proofErr w:type="spellStart"/>
      <w:r>
        <w:t>Mesha</w:t>
      </w:r>
      <w:proofErr w:type="spellEnd"/>
      <w:r>
        <w:t xml:space="preserve"> took the vessels of Yahweh from the town of Nebo.</w:t>
      </w:r>
      <w:r>
        <w:rPr>
          <w:vertAlign w:val="superscript"/>
        </w:rPr>
        <w:t>64</w:t>
      </w:r>
    </w:p>
    <w:p w:rsidR="008E4B08" w:rsidRDefault="00C51EF0">
      <w:pPr>
        <w:spacing w:line="480" w:lineRule="auto"/>
        <w:ind w:firstLine="720"/>
        <w:jc w:val="both"/>
      </w:pPr>
      <w:r>
        <w:rPr>
          <w:b/>
          <w:bCs/>
        </w:rPr>
        <w:t>Example.</w:t>
      </w:r>
      <w:r>
        <w:t xml:space="preserve"> When two </w:t>
      </w:r>
      <w:proofErr w:type="spellStart"/>
      <w:r>
        <w:t>neighbouring</w:t>
      </w:r>
      <w:proofErr w:type="spellEnd"/>
      <w:r>
        <w:t xml:space="preserve"> communities in Nigeria tell the story of an old land dispute, each tells it from its own side and praises its own heroes. Yet both versions confirm that the dispute really happened. The Bible and the </w:t>
      </w:r>
      <w:proofErr w:type="spellStart"/>
      <w:r>
        <w:t>Mesha</w:t>
      </w:r>
      <w:proofErr w:type="spellEnd"/>
      <w:r>
        <w:t xml:space="preserve"> Inscription are like two such accounts: they disagree on whose god was victorious, but they agree on the main events.</w:t>
      </w:r>
    </w:p>
    <w:p w:rsidR="008E4B08" w:rsidRDefault="00C51EF0">
      <w:pPr>
        <w:spacing w:line="480" w:lineRule="auto"/>
        <w:ind w:firstLine="720"/>
        <w:jc w:val="both"/>
      </w:pPr>
      <w:proofErr w:type="spellStart"/>
      <w:r>
        <w:t>Omri's</w:t>
      </w:r>
      <w:proofErr w:type="spellEnd"/>
      <w:r>
        <w:t xml:space="preserve"> capital, Samaria, was excavated by Harvard teams and later by Kenyon and John Crowfoot. They found a royal acropolis built of finely cut stone and many carved ivory panels, recalling Ahab's "ivory house" (1 Kgs 22:39) and Amos's attack on those who lie on "beds of ivory" (Amos 6:4). The Samaria ostraca, records of deliveries of wine and oil from the eighth century, contain many personal names, some including the name of Yahweh and some the name of Baal. This mixture illustrates the religious confusion that Hosea condemned.</w:t>
      </w:r>
    </w:p>
    <w:p w:rsidR="008E4B08" w:rsidRDefault="00C51EF0">
      <w:pPr>
        <w:pStyle w:val="Heading3"/>
        <w:keepNext/>
        <w:spacing w:before="120" w:after="60" w:line="360" w:lineRule="auto"/>
      </w:pPr>
      <w:r>
        <w:t xml:space="preserve">9.3.2 Ahab at the Battle of </w:t>
      </w:r>
      <w:proofErr w:type="spellStart"/>
      <w:r>
        <w:t>Qarqar</w:t>
      </w:r>
      <w:proofErr w:type="spellEnd"/>
    </w:p>
    <w:p w:rsidR="008E4B08" w:rsidRDefault="00C51EF0">
      <w:pPr>
        <w:spacing w:line="480" w:lineRule="auto"/>
        <w:jc w:val="both"/>
      </w:pPr>
      <w:r>
        <w:t xml:space="preserve">An inscription of the Assyrian king </w:t>
      </w:r>
      <w:proofErr w:type="spellStart"/>
      <w:r>
        <w:t>Shalmaneser</w:t>
      </w:r>
      <w:proofErr w:type="spellEnd"/>
      <w:r>
        <w:t xml:space="preserve"> III describes a battle at </w:t>
      </w:r>
      <w:proofErr w:type="spellStart"/>
      <w:r>
        <w:t>Qarqar</w:t>
      </w:r>
      <w:proofErr w:type="spellEnd"/>
      <w:r>
        <w:t xml:space="preserve"> in Syria in 853 BC, where he fought an alliance of western kings. Among them was "Ahab the Israelite", who brought 2,000 chariots and 10,000 soldiers, the largest chariot force in the alliance. The Bible does not mention this battle, but the inscription confirms Ahab's military power.</w:t>
      </w:r>
    </w:p>
    <w:p w:rsidR="008E4B08" w:rsidRDefault="00C51EF0">
      <w:pPr>
        <w:pStyle w:val="Heading3"/>
        <w:keepNext/>
        <w:spacing w:before="120" w:after="60" w:line="360" w:lineRule="auto"/>
      </w:pPr>
      <w:r>
        <w:t>9.3.3 Jehu and the Black Obelisk</w:t>
      </w:r>
    </w:p>
    <w:p w:rsidR="008E4B08" w:rsidRDefault="00C51EF0">
      <w:pPr>
        <w:spacing w:line="480" w:lineRule="auto"/>
        <w:jc w:val="both"/>
      </w:pPr>
      <w:r>
        <w:t xml:space="preserve">The Black Obelisk of </w:t>
      </w:r>
      <w:proofErr w:type="spellStart"/>
      <w:r>
        <w:t>Shalmaneser</w:t>
      </w:r>
      <w:proofErr w:type="spellEnd"/>
      <w:r>
        <w:t xml:space="preserve"> III, found at Nimrud in Iraq in 1846 and now in the British Museum, shows a man bowing to the ground before the Assyrian king, with the words "Tribute of Jehu, son of </w:t>
      </w:r>
      <w:proofErr w:type="spellStart"/>
      <w:r>
        <w:t>Omri</w:t>
      </w:r>
      <w:proofErr w:type="spellEnd"/>
      <w:r>
        <w:t xml:space="preserve">". This is the only known picture of an Israelite king made in his own lifetime. The Assyrians called him "son of </w:t>
      </w:r>
      <w:proofErr w:type="spellStart"/>
      <w:r>
        <w:t>Omri</w:t>
      </w:r>
      <w:proofErr w:type="spellEnd"/>
      <w:r>
        <w:t xml:space="preserve">" because they named rulers by the dynasty of their country, although Jehu had in fact destroyed </w:t>
      </w:r>
      <w:proofErr w:type="spellStart"/>
      <w:r>
        <w:t>Omri's</w:t>
      </w:r>
      <w:proofErr w:type="spellEnd"/>
      <w:r>
        <w:t xml:space="preserve"> family (2 Kgs 9–10).</w:t>
      </w:r>
      <w:r>
        <w:rPr>
          <w:vertAlign w:val="superscript"/>
        </w:rPr>
        <w:t>65</w:t>
      </w:r>
    </w:p>
    <w:p w:rsidR="008E4B08" w:rsidRDefault="00C51EF0">
      <w:pPr>
        <w:pStyle w:val="Heading3"/>
        <w:keepNext/>
        <w:spacing w:before="120" w:after="60" w:line="360" w:lineRule="auto"/>
      </w:pPr>
      <w:r>
        <w:lastRenderedPageBreak/>
        <w:t>9.3.4 The Fall of Samaria</w:t>
      </w:r>
    </w:p>
    <w:p w:rsidR="008E4B08" w:rsidRDefault="00C51EF0">
      <w:pPr>
        <w:spacing w:line="480" w:lineRule="auto"/>
        <w:jc w:val="both"/>
      </w:pPr>
      <w:r>
        <w:t xml:space="preserve">The Assyrian kings </w:t>
      </w:r>
      <w:proofErr w:type="spellStart"/>
      <w:r>
        <w:t>Tiglath-pileser</w:t>
      </w:r>
      <w:proofErr w:type="spellEnd"/>
      <w:r>
        <w:t xml:space="preserve"> III, </w:t>
      </w:r>
      <w:proofErr w:type="spellStart"/>
      <w:r>
        <w:t>Shalmaneser</w:t>
      </w:r>
      <w:proofErr w:type="spellEnd"/>
      <w:r>
        <w:t xml:space="preserve"> V and Sargon II record campaigns against Israel and its kings </w:t>
      </w:r>
      <w:proofErr w:type="spellStart"/>
      <w:r>
        <w:t>Menahem</w:t>
      </w:r>
      <w:proofErr w:type="spellEnd"/>
      <w:r>
        <w:t xml:space="preserve">, </w:t>
      </w:r>
      <w:proofErr w:type="spellStart"/>
      <w:r>
        <w:t>Pekah</w:t>
      </w:r>
      <w:proofErr w:type="spellEnd"/>
      <w:r>
        <w:t xml:space="preserve"> and </w:t>
      </w:r>
      <w:proofErr w:type="spellStart"/>
      <w:r>
        <w:t>Hoshea</w:t>
      </w:r>
      <w:proofErr w:type="spellEnd"/>
      <w:r>
        <w:t xml:space="preserve">, in agreement with 2 Kings 15–17. Sargon claims that he captured Samaria and deported 27,290 of its people, replacing them with people from other lands, as 2 Kings 17:24 describes. Excavations at sites such as </w:t>
      </w:r>
      <w:proofErr w:type="spellStart"/>
      <w:r>
        <w:t>Hazor</w:t>
      </w:r>
      <w:proofErr w:type="spellEnd"/>
      <w:r>
        <w:t xml:space="preserve"> and Megiddo show destruction layers and changes in culture that fit the Assyrian conquest of the 730s and 720s BC.</w:t>
      </w:r>
    </w:p>
    <w:p w:rsidR="008E4B08" w:rsidRDefault="00C51EF0">
      <w:pPr>
        <w:pStyle w:val="Heading2"/>
        <w:keepNext/>
        <w:spacing w:before="240" w:after="120" w:line="360" w:lineRule="auto"/>
      </w:pPr>
      <w:bookmarkStart w:id="122" w:name="_Toc241908483"/>
      <w:r>
        <w:t>9.4 The Southern Kingdom of Judah</w:t>
      </w:r>
      <w:bookmarkEnd w:id="122"/>
    </w:p>
    <w:p w:rsidR="008E4B08" w:rsidRDefault="00C51EF0">
      <w:pPr>
        <w:pStyle w:val="Heading3"/>
        <w:keepNext/>
        <w:spacing w:before="120" w:after="60" w:line="360" w:lineRule="auto"/>
      </w:pPr>
      <w:r>
        <w:t>9.4.1 Hezekiah and the Siloam Tunnel</w:t>
      </w:r>
    </w:p>
    <w:p w:rsidR="008E4B08" w:rsidRDefault="00C51EF0">
      <w:pPr>
        <w:spacing w:line="480" w:lineRule="auto"/>
        <w:jc w:val="both"/>
      </w:pPr>
      <w:r>
        <w:t xml:space="preserve">When Assyria threatened Judah, King Hezekiah prepared Jerusalem for a siege. The Bible says he "made the pool and the conduit and brought water into the city" (2 Kgs 20:20; compare 2 </w:t>
      </w:r>
      <w:proofErr w:type="spellStart"/>
      <w:r>
        <w:t>Chr</w:t>
      </w:r>
      <w:proofErr w:type="spellEnd"/>
      <w:r>
        <w:t xml:space="preserve"> 32:30). The Siloam Tunnel, a channel 533 </w:t>
      </w:r>
      <w:proofErr w:type="spellStart"/>
      <w:r>
        <w:t>metres</w:t>
      </w:r>
      <w:proofErr w:type="spellEnd"/>
      <w:r>
        <w:t xml:space="preserve"> long cut through solid rock from the Gihon Spring to the Pool of Siloam, has long been identified with this work. In 1880 an inscription was found near the tunnel's end. It describes how two teams of workers cut from opposite ends and met in the middle, so that "the water flowed from the spring to the pool". Scientific dating of plaster and of stone formations in the tunnel supports a date of about 700 BC.</w:t>
      </w:r>
      <w:r>
        <w:rPr>
          <w:vertAlign w:val="superscript"/>
        </w:rPr>
        <w:t>66</w:t>
      </w:r>
    </w:p>
    <w:p w:rsidR="008E4B08" w:rsidRDefault="00C51EF0">
      <w:pPr>
        <w:spacing w:line="480" w:lineRule="auto"/>
        <w:ind w:firstLine="720"/>
        <w:jc w:val="both"/>
      </w:pPr>
      <w:r>
        <w:rPr>
          <w:b/>
          <w:bCs/>
        </w:rPr>
        <w:t>Example.</w:t>
      </w:r>
      <w:r>
        <w:t xml:space="preserve"> Imagine two groups of </w:t>
      </w:r>
      <w:proofErr w:type="spellStart"/>
      <w:r>
        <w:t>labourers</w:t>
      </w:r>
      <w:proofErr w:type="spellEnd"/>
      <w:r>
        <w:t xml:space="preserve"> cutting a water channel through solid rock from two directions, with no modern instruments, and meeting in the middle. The inscription records the moment when the workers heard each other's voices through the rock. Visitors to Jerusalem today can still walk through the tunnel in knee-deep water, a living reminder of Hezekiah's faith and foresight.</w:t>
      </w:r>
    </w:p>
    <w:p w:rsidR="008E4B08" w:rsidRDefault="00C51EF0">
      <w:pPr>
        <w:spacing w:line="480" w:lineRule="auto"/>
        <w:ind w:firstLine="720"/>
        <w:jc w:val="both"/>
      </w:pPr>
      <w:r>
        <w:t xml:space="preserve">Excavations in the Jewish Quarter of Jerusalem by </w:t>
      </w:r>
      <w:proofErr w:type="spellStart"/>
      <w:r>
        <w:t>Nahman</w:t>
      </w:r>
      <w:proofErr w:type="spellEnd"/>
      <w:r>
        <w:t xml:space="preserve"> </w:t>
      </w:r>
      <w:proofErr w:type="spellStart"/>
      <w:r>
        <w:t>Avigad</w:t>
      </w:r>
      <w:proofErr w:type="spellEnd"/>
      <w:r>
        <w:t xml:space="preserve"> uncovered the "Broad Wall", a city wall about seven </w:t>
      </w:r>
      <w:proofErr w:type="spellStart"/>
      <w:r>
        <w:t>metres</w:t>
      </w:r>
      <w:proofErr w:type="spellEnd"/>
      <w:r>
        <w:t xml:space="preserve"> thick, from the late eighth century. It shows that the city grew westwards, probably because refugees came from the north after the fall of </w:t>
      </w:r>
      <w:r>
        <w:lastRenderedPageBreak/>
        <w:t>Samaria. It also recalls Isaiah 22:10, which speaks of houses being pulled down to strengthen the wall.</w:t>
      </w:r>
    </w:p>
    <w:p w:rsidR="008E4B08" w:rsidRDefault="00C51EF0">
      <w:pPr>
        <w:pStyle w:val="Heading3"/>
        <w:keepNext/>
        <w:spacing w:before="120" w:after="60" w:line="360" w:lineRule="auto"/>
      </w:pPr>
      <w:r>
        <w:t>9.4.2 Sennacherib's Campaign of 701 BC</w:t>
      </w:r>
    </w:p>
    <w:p w:rsidR="008E4B08" w:rsidRDefault="00C51EF0">
      <w:pPr>
        <w:spacing w:line="480" w:lineRule="auto"/>
        <w:jc w:val="both"/>
      </w:pPr>
      <w:r>
        <w:t>The campaign of the Assyrian king Sennacherib against Judah in 701 BC is one of the best-documented events in ancient history. The Bible describes it in 2 Kings 18–19, Isaiah 36–37 and 2 Chronicles 32. Sennacherib's own account is written on clay prisms, including the Taylor Prism in the British Museum. He claims to have captured forty-six fortified cities of Judah and to have shut Hezekiah up in Jerusalem "like a bird in a cage". He records the heavy tribute Hezekiah paid, and the amount of gold, thirty talents, matches 2 Kings 18:14. Significantly, Sennacherib does not claim to have captured Jerusalem.</w:t>
      </w:r>
      <w:r>
        <w:rPr>
          <w:vertAlign w:val="superscript"/>
        </w:rPr>
        <w:t>67</w:t>
      </w:r>
    </w:p>
    <w:p w:rsidR="008E4B08" w:rsidRDefault="00C51EF0">
      <w:pPr>
        <w:spacing w:line="480" w:lineRule="auto"/>
        <w:ind w:firstLine="720"/>
        <w:jc w:val="both"/>
      </w:pPr>
      <w:r>
        <w:rPr>
          <w:b/>
          <w:bCs/>
        </w:rPr>
        <w:t>Example.</w:t>
      </w:r>
      <w:r>
        <w:t xml:space="preserve"> In a boastful report, what a king leaves out is often as important as what he says. A football club that lost the final would not mention the score in its newsletter; it would talk about the fine goals it scored earlier in the season. Sennacherib boasts about everything except the capture of Jerusalem, which agrees with the Bible's account that the city was spared.</w:t>
      </w:r>
    </w:p>
    <w:p w:rsidR="008E4B08" w:rsidRDefault="00C51EF0">
      <w:pPr>
        <w:spacing w:line="480" w:lineRule="auto"/>
        <w:ind w:firstLine="720"/>
        <w:jc w:val="both"/>
      </w:pPr>
      <w:r>
        <w:t xml:space="preserve">The siege of Lachish, Judah's second city, is shown on large stone carvings that once lined a room in Sennacherib's palace at Nineveh. They show the attack on the city, siege ramps and battering rams, the execution of defenders and families being taken into exile. Excavations at Lachish by James Starkey in the 1930s and by David </w:t>
      </w:r>
      <w:proofErr w:type="spellStart"/>
      <w:r>
        <w:t>Ussishkin</w:t>
      </w:r>
      <w:proofErr w:type="spellEnd"/>
      <w:r>
        <w:t xml:space="preserve"> from 1973 found the Assyrian siege ramp, the only one known from the ancient Near East, together with a </w:t>
      </w:r>
      <w:proofErr w:type="spellStart"/>
      <w:r>
        <w:t>Judaean</w:t>
      </w:r>
      <w:proofErr w:type="spellEnd"/>
      <w:r>
        <w:t xml:space="preserve"> counter-ramp, hundreds of arrowheads and sling stones, and the burnt destruction layer.</w:t>
      </w:r>
      <w:r>
        <w:rPr>
          <w:vertAlign w:val="superscript"/>
        </w:rPr>
        <w:t>68</w:t>
      </w:r>
      <w:r>
        <w:t xml:space="preserve"> The combination of the Bible, the Assyrian records, the palace carvings and the excavated city gives one of the fullest pictures of any event in the biblical period.</w:t>
      </w:r>
    </w:p>
    <w:p w:rsidR="008E4B08" w:rsidRDefault="00C51EF0">
      <w:pPr>
        <w:pStyle w:val="Heading3"/>
        <w:keepNext/>
        <w:spacing w:before="120" w:after="60" w:line="360" w:lineRule="auto"/>
      </w:pPr>
      <w:r>
        <w:t>9.4.3 Royal Jar Handles and Seals</w:t>
      </w:r>
    </w:p>
    <w:p w:rsidR="008E4B08" w:rsidRDefault="00C51EF0">
      <w:pPr>
        <w:spacing w:line="480" w:lineRule="auto"/>
        <w:jc w:val="both"/>
      </w:pPr>
      <w:r>
        <w:t xml:space="preserve">Hundreds of storage jar handles stamped with the Hebrew word </w:t>
      </w:r>
      <w:proofErr w:type="spellStart"/>
      <w:r>
        <w:rPr>
          <w:i/>
          <w:iCs/>
        </w:rPr>
        <w:t>lmlk</w:t>
      </w:r>
      <w:proofErr w:type="spellEnd"/>
      <w:r>
        <w:t xml:space="preserve"> ("belonging to the king") and the name of one of four towns have been found across Judah. They are linked with </w:t>
      </w:r>
      <w:r>
        <w:lastRenderedPageBreak/>
        <w:t xml:space="preserve">Hezekiah's preparations for the Assyrian invasion. In 2015 a small clay seal impression reading "Belonging to Hezekiah [son of] Ahaz, king of Judah" was published from excavations near the Temple Mount by </w:t>
      </w:r>
      <w:proofErr w:type="spellStart"/>
      <w:r>
        <w:t>Eilat</w:t>
      </w:r>
      <w:proofErr w:type="spellEnd"/>
      <w:r>
        <w:t xml:space="preserve"> </w:t>
      </w:r>
      <w:proofErr w:type="spellStart"/>
      <w:r>
        <w:t>Mazar</w:t>
      </w:r>
      <w:proofErr w:type="spellEnd"/>
      <w:r>
        <w:t>. Another impression from the same area has been read by some as bearing the name of Isaiah, possibly "Isaiah the prophet", though the reading is incomplete and debated.</w:t>
      </w:r>
    </w:p>
    <w:p w:rsidR="008E4B08" w:rsidRDefault="00C51EF0">
      <w:pPr>
        <w:pStyle w:val="Heading3"/>
        <w:keepNext/>
        <w:spacing w:before="120" w:after="60" w:line="360" w:lineRule="auto"/>
      </w:pPr>
      <w:r>
        <w:t>9.4.4 Religion in Judah</w:t>
      </w:r>
    </w:p>
    <w:p w:rsidR="008E4B08" w:rsidRDefault="00C51EF0">
      <w:pPr>
        <w:spacing w:line="480" w:lineRule="auto"/>
        <w:jc w:val="both"/>
      </w:pPr>
      <w:r>
        <w:t xml:space="preserve">At Arad, a fortress in the Negev, archaeologists found a small temple with an altar for burnt offerings and an inner room containing standing stones and incense altars, used in the eighth century. Some scholars link its later dismantling with the religious reforms of Hezekiah or Josiah (2 Kgs 18:4; 23:8). Inscriptions from </w:t>
      </w:r>
      <w:proofErr w:type="spellStart"/>
      <w:r>
        <w:t>Kuntillet</w:t>
      </w:r>
      <w:proofErr w:type="spellEnd"/>
      <w:r>
        <w:t xml:space="preserve"> '</w:t>
      </w:r>
      <w:proofErr w:type="spellStart"/>
      <w:r>
        <w:t>Ajrud</w:t>
      </w:r>
      <w:proofErr w:type="spellEnd"/>
      <w:r>
        <w:t xml:space="preserve"> in Sinai mention "Yahweh of Samaria and his </w:t>
      </w:r>
      <w:proofErr w:type="spellStart"/>
      <w:r>
        <w:t>Asherah</w:t>
      </w:r>
      <w:proofErr w:type="spellEnd"/>
      <w:r>
        <w:t>", showing that some Israelites believed the Lord had a female partner. These finds confirm why the prophets preached against mixing the worship of the Lord with other gods.</w:t>
      </w:r>
    </w:p>
    <w:p w:rsidR="008E4B08" w:rsidRDefault="00C51EF0">
      <w:pPr>
        <w:pStyle w:val="Heading3"/>
        <w:keepNext/>
        <w:spacing w:before="120" w:after="60" w:line="360" w:lineRule="auto"/>
      </w:pPr>
      <w:r>
        <w:t xml:space="preserve">9.4.5 The </w:t>
      </w:r>
      <w:proofErr w:type="spellStart"/>
      <w:r>
        <w:t>Ketef</w:t>
      </w:r>
      <w:proofErr w:type="spellEnd"/>
      <w:r>
        <w:t xml:space="preserve"> </w:t>
      </w:r>
      <w:proofErr w:type="spellStart"/>
      <w:r>
        <w:t>Hinnom</w:t>
      </w:r>
      <w:proofErr w:type="spellEnd"/>
      <w:r>
        <w:t xml:space="preserve"> Silver Amulets</w:t>
      </w:r>
    </w:p>
    <w:p w:rsidR="008E4B08" w:rsidRDefault="00C51EF0">
      <w:pPr>
        <w:spacing w:line="480" w:lineRule="auto"/>
        <w:jc w:val="both"/>
      </w:pPr>
      <w:r>
        <w:t xml:space="preserve">In 1979 Gabriel </w:t>
      </w:r>
      <w:proofErr w:type="spellStart"/>
      <w:r>
        <w:t>Barkay</w:t>
      </w:r>
      <w:proofErr w:type="spellEnd"/>
      <w:r>
        <w:t xml:space="preserve"> excavated burial caves at </w:t>
      </w:r>
      <w:proofErr w:type="spellStart"/>
      <w:r>
        <w:t>Ketef</w:t>
      </w:r>
      <w:proofErr w:type="spellEnd"/>
      <w:r>
        <w:t xml:space="preserve"> </w:t>
      </w:r>
      <w:proofErr w:type="spellStart"/>
      <w:r>
        <w:t>Hinnom</w:t>
      </w:r>
      <w:proofErr w:type="spellEnd"/>
      <w:r>
        <w:t xml:space="preserve"> in Jerusalem. Among the finds were two tiny rolled silver amulets. When they were unrolled and studied, they were found to contain words very close to the priestly blessing of Numbers 6:24–26: "The Lord bless you and keep you; the Lord make his face shine upon you, and give you peace." Dated to about 600 BC, they are the oldest known texts that match a passage of the Hebrew Bible.</w:t>
      </w:r>
      <w:r>
        <w:rPr>
          <w:vertAlign w:val="superscript"/>
        </w:rPr>
        <w:t>69</w:t>
      </w:r>
    </w:p>
    <w:p w:rsidR="008E4B08" w:rsidRDefault="00C51EF0">
      <w:pPr>
        <w:pStyle w:val="Heading2"/>
        <w:keepNext/>
        <w:spacing w:before="240" w:after="120" w:line="360" w:lineRule="auto"/>
      </w:pPr>
      <w:bookmarkStart w:id="123" w:name="_Toc241908484"/>
      <w:r>
        <w:t>9.5 The Babylonian Conquest and the Exile</w:t>
      </w:r>
      <w:bookmarkEnd w:id="123"/>
    </w:p>
    <w:p w:rsidR="008E4B08" w:rsidRDefault="00C51EF0">
      <w:pPr>
        <w:pStyle w:val="Heading3"/>
        <w:keepNext/>
        <w:spacing w:before="120" w:after="60" w:line="360" w:lineRule="auto"/>
      </w:pPr>
      <w:r>
        <w:t>9.5.1 The Lachish Letters</w:t>
      </w:r>
    </w:p>
    <w:p w:rsidR="008E4B08" w:rsidRDefault="00C51EF0">
      <w:pPr>
        <w:spacing w:line="480" w:lineRule="auto"/>
        <w:jc w:val="both"/>
      </w:pPr>
      <w:r>
        <w:t xml:space="preserve">In 1935 Starkey found a group of letters written in ink on pieces of pottery at Lachish, in the layer destroyed by the Babylonians in 588–586 BC. They were written by a junior officer named </w:t>
      </w:r>
      <w:proofErr w:type="spellStart"/>
      <w:r>
        <w:t>Hoshaiah</w:t>
      </w:r>
      <w:proofErr w:type="spellEnd"/>
      <w:r>
        <w:t xml:space="preserve"> to his commander. One letter says, "We are watching for the fire signals of Lachish ... for we cannot see </w:t>
      </w:r>
      <w:proofErr w:type="spellStart"/>
      <w:r>
        <w:t>Azekah</w:t>
      </w:r>
      <w:proofErr w:type="spellEnd"/>
      <w:r>
        <w:t xml:space="preserve">." This recalls Jeremiah 34:7, where Lachish and </w:t>
      </w:r>
      <w:proofErr w:type="spellStart"/>
      <w:r>
        <w:t>Azekah</w:t>
      </w:r>
      <w:proofErr w:type="spellEnd"/>
      <w:r>
        <w:t xml:space="preserve"> </w:t>
      </w:r>
      <w:r>
        <w:lastRenderedPageBreak/>
        <w:t>are the last fortified cities left in Judah.</w:t>
      </w:r>
      <w:r>
        <w:rPr>
          <w:vertAlign w:val="superscript"/>
        </w:rPr>
        <w:t>70</w:t>
      </w:r>
      <w:r>
        <w:t xml:space="preserve"> Another letter complains that someone's words are weakening the people's courage, the same charge made against Jeremiah (</w:t>
      </w:r>
      <w:proofErr w:type="spellStart"/>
      <w:r>
        <w:t>Jer</w:t>
      </w:r>
      <w:proofErr w:type="spellEnd"/>
      <w:r>
        <w:t xml:space="preserve"> 38:4).</w:t>
      </w:r>
    </w:p>
    <w:p w:rsidR="008E4B08" w:rsidRDefault="00C51EF0">
      <w:pPr>
        <w:pStyle w:val="Heading3"/>
        <w:keepNext/>
        <w:spacing w:before="120" w:after="60" w:line="360" w:lineRule="auto"/>
      </w:pPr>
      <w:r>
        <w:t>9.5.2 Seals of Jeremiah's Contemporaries</w:t>
      </w:r>
    </w:p>
    <w:p w:rsidR="008E4B08" w:rsidRDefault="00C51EF0">
      <w:pPr>
        <w:spacing w:line="480" w:lineRule="auto"/>
        <w:jc w:val="both"/>
      </w:pPr>
      <w:r>
        <w:t>A remarkable number of seals and seal impressions bear names of people mentioned in Jeremiah. A seal impression found in a burnt house in the City of David belonged to "</w:t>
      </w:r>
      <w:proofErr w:type="spellStart"/>
      <w:r>
        <w:t>Gemariah</w:t>
      </w:r>
      <w:proofErr w:type="spellEnd"/>
      <w:r>
        <w:t xml:space="preserve"> son of </w:t>
      </w:r>
      <w:proofErr w:type="spellStart"/>
      <w:r>
        <w:t>Shaphan</w:t>
      </w:r>
      <w:proofErr w:type="spellEnd"/>
      <w:r>
        <w:t>", the official in whose room Baruch read Jeremiah's scroll (</w:t>
      </w:r>
      <w:proofErr w:type="spellStart"/>
      <w:r>
        <w:t>Jer</w:t>
      </w:r>
      <w:proofErr w:type="spellEnd"/>
      <w:r>
        <w:t xml:space="preserve"> 36:10). Seal impressions of </w:t>
      </w:r>
      <w:proofErr w:type="spellStart"/>
      <w:r>
        <w:t>Jehucal</w:t>
      </w:r>
      <w:proofErr w:type="spellEnd"/>
      <w:r>
        <w:t xml:space="preserve"> son of </w:t>
      </w:r>
      <w:proofErr w:type="spellStart"/>
      <w:r>
        <w:t>Shelemiah</w:t>
      </w:r>
      <w:proofErr w:type="spellEnd"/>
      <w:r>
        <w:t xml:space="preserve"> and Gedaliah son of </w:t>
      </w:r>
      <w:proofErr w:type="spellStart"/>
      <w:r>
        <w:t>Pashhur</w:t>
      </w:r>
      <w:proofErr w:type="spellEnd"/>
      <w:r>
        <w:t>, two officials who opposed Jeremiah (</w:t>
      </w:r>
      <w:proofErr w:type="spellStart"/>
      <w:r>
        <w:t>Jer</w:t>
      </w:r>
      <w:proofErr w:type="spellEnd"/>
      <w:r>
        <w:t xml:space="preserve"> 38:1), were found in 2005 and 2008. These discoveries show that the book of Jeremiah reflects the real government of Jerusalem in its final years.</w:t>
      </w:r>
    </w:p>
    <w:p w:rsidR="008E4B08" w:rsidRDefault="00C51EF0">
      <w:pPr>
        <w:spacing w:line="480" w:lineRule="auto"/>
        <w:ind w:firstLine="720"/>
        <w:jc w:val="both"/>
      </w:pPr>
      <w:r>
        <w:rPr>
          <w:b/>
          <w:bCs/>
        </w:rPr>
        <w:t>Example.</w:t>
      </w:r>
      <w:r>
        <w:t xml:space="preserve"> It is like finding the official stamps of commissioners named in a newspaper report about a state government. Such stamps would confirm that the report described real officials who held real offices.</w:t>
      </w:r>
    </w:p>
    <w:p w:rsidR="008E4B08" w:rsidRDefault="00C51EF0">
      <w:pPr>
        <w:pStyle w:val="Heading3"/>
        <w:keepNext/>
        <w:spacing w:before="120" w:after="60" w:line="360" w:lineRule="auto"/>
      </w:pPr>
      <w:r>
        <w:t>9.5.3 The Babylonian Chronicles</w:t>
      </w:r>
    </w:p>
    <w:p w:rsidR="008E4B08" w:rsidRDefault="00C51EF0">
      <w:pPr>
        <w:spacing w:line="480" w:lineRule="auto"/>
        <w:jc w:val="both"/>
      </w:pPr>
      <w:r>
        <w:t xml:space="preserve">The Babylonian Chronicles are clay tablets recording the main events of each year of the Babylonian kings. One chronicle says that in his seventh year (597 BC), Nebuchadnezzar besieged "the city of Judah", captured it on the second day of the month Adar, seized its king and appointed a new king of his own choice. This matches 2 Kings 24:10–17, which describes the capture of King </w:t>
      </w:r>
      <w:proofErr w:type="spellStart"/>
      <w:r>
        <w:t>Jehoiachin</w:t>
      </w:r>
      <w:proofErr w:type="spellEnd"/>
      <w:r>
        <w:t xml:space="preserve"> and the appointment of Zedekiah. It gives one of the most exact dates in Old Testament history: 16 March 597 BC.</w:t>
      </w:r>
      <w:r>
        <w:rPr>
          <w:vertAlign w:val="superscript"/>
        </w:rPr>
        <w:t>71</w:t>
      </w:r>
    </w:p>
    <w:p w:rsidR="008E4B08" w:rsidRDefault="00C51EF0">
      <w:pPr>
        <w:pStyle w:val="Heading3"/>
        <w:keepNext/>
        <w:spacing w:before="120" w:after="60" w:line="360" w:lineRule="auto"/>
      </w:pPr>
      <w:r>
        <w:t xml:space="preserve">9.5.4 </w:t>
      </w:r>
      <w:proofErr w:type="spellStart"/>
      <w:r>
        <w:t>Jehoiachin</w:t>
      </w:r>
      <w:proofErr w:type="spellEnd"/>
      <w:r>
        <w:t xml:space="preserve"> in Babylon</w:t>
      </w:r>
    </w:p>
    <w:p w:rsidR="008E4B08" w:rsidRDefault="00C51EF0">
      <w:pPr>
        <w:spacing w:line="480" w:lineRule="auto"/>
        <w:jc w:val="both"/>
      </w:pPr>
      <w:r>
        <w:t>Tablets found in Babylon list rations of oil and barley given to foreign prisoners, including "</w:t>
      </w:r>
      <w:proofErr w:type="spellStart"/>
      <w:r>
        <w:t>Yaukin</w:t>
      </w:r>
      <w:proofErr w:type="spellEnd"/>
      <w:r>
        <w:t xml:space="preserve">, king of the land of </w:t>
      </w:r>
      <w:proofErr w:type="spellStart"/>
      <w:r>
        <w:t>Yahud</w:t>
      </w:r>
      <w:proofErr w:type="spellEnd"/>
      <w:r>
        <w:t xml:space="preserve">" and his sons. This confirms that </w:t>
      </w:r>
      <w:proofErr w:type="spellStart"/>
      <w:r>
        <w:t>Jehoiachin</w:t>
      </w:r>
      <w:proofErr w:type="spellEnd"/>
      <w:r>
        <w:t xml:space="preserve"> lived in Babylon as a royal prisoner, as 2 Kings 25:27–30 describes.</w:t>
      </w:r>
    </w:p>
    <w:p w:rsidR="008E4B08" w:rsidRDefault="00C51EF0">
      <w:pPr>
        <w:pStyle w:val="Heading3"/>
        <w:keepNext/>
        <w:spacing w:before="120" w:after="60" w:line="360" w:lineRule="auto"/>
      </w:pPr>
      <w:r>
        <w:lastRenderedPageBreak/>
        <w:t>9.5.5 The Destruction of Jerusalem</w:t>
      </w:r>
    </w:p>
    <w:p w:rsidR="008E4B08" w:rsidRDefault="00C51EF0">
      <w:pPr>
        <w:spacing w:line="480" w:lineRule="auto"/>
        <w:jc w:val="both"/>
      </w:pPr>
      <w:r>
        <w:t xml:space="preserve">Excavations in the City of David and the Jewish Quarter show the destruction of Jerusalem by the Babylonians in 586 BC: burnt houses, fallen walls and arrowheads of Babylonian type. Surveys suggest that much of Judah lost most of its population, though the area of Benjamin north of Jerusalem suffered less. This fits the appointment of Gedaliah as governor at </w:t>
      </w:r>
      <w:proofErr w:type="spellStart"/>
      <w:r>
        <w:t>Mizpah</w:t>
      </w:r>
      <w:proofErr w:type="spellEnd"/>
      <w:r>
        <w:t xml:space="preserve"> in that area (2 Kgs 25:22–23; </w:t>
      </w:r>
      <w:proofErr w:type="spellStart"/>
      <w:r>
        <w:t>Jer</w:t>
      </w:r>
      <w:proofErr w:type="spellEnd"/>
      <w:r>
        <w:t xml:space="preserve"> 40). How empty the land became after 586 BC is still debated.</w:t>
      </w:r>
    </w:p>
    <w:p w:rsidR="008E4B08" w:rsidRDefault="00C51EF0">
      <w:pPr>
        <w:pStyle w:val="Heading3"/>
        <w:keepNext/>
        <w:spacing w:before="120" w:after="60" w:line="360" w:lineRule="auto"/>
      </w:pPr>
      <w:r>
        <w:t xml:space="preserve">9.5.6 </w:t>
      </w:r>
      <w:proofErr w:type="spellStart"/>
      <w:r>
        <w:t>Judaeans</w:t>
      </w:r>
      <w:proofErr w:type="spellEnd"/>
      <w:r>
        <w:t xml:space="preserve"> in Babylonia</w:t>
      </w:r>
    </w:p>
    <w:p w:rsidR="008E4B08" w:rsidRDefault="00C51EF0">
      <w:pPr>
        <w:spacing w:line="480" w:lineRule="auto"/>
        <w:jc w:val="both"/>
      </w:pPr>
      <w:r>
        <w:t>The Al-</w:t>
      </w:r>
      <w:proofErr w:type="spellStart"/>
      <w:r>
        <w:t>Yahudu</w:t>
      </w:r>
      <w:proofErr w:type="spellEnd"/>
      <w:r>
        <w:t xml:space="preserve"> tablets, more than one hundred clay documents published in recent years, describe a community of </w:t>
      </w:r>
      <w:proofErr w:type="spellStart"/>
      <w:r>
        <w:t>Judaean</w:t>
      </w:r>
      <w:proofErr w:type="spellEnd"/>
      <w:r>
        <w:t xml:space="preserve"> exiles living in a settlement called "the town of Judah" in Babylonia in the sixth and fifth centuries BC. They record business deals and contain many names that include the name of Yahweh. They give direct evidence of the life of the exiles, who built houses, planted gardens and sought the welfare of the land where they lived, as Jeremiah advised (</w:t>
      </w:r>
      <w:proofErr w:type="spellStart"/>
      <w:r>
        <w:t>Jer</w:t>
      </w:r>
      <w:proofErr w:type="spellEnd"/>
      <w:r>
        <w:t xml:space="preserve"> 29:5–7).</w:t>
      </w:r>
      <w:r>
        <w:rPr>
          <w:vertAlign w:val="superscript"/>
        </w:rPr>
        <w:t>72</w:t>
      </w:r>
    </w:p>
    <w:p w:rsidR="008E4B08" w:rsidRDefault="00C51EF0">
      <w:pPr>
        <w:pStyle w:val="Heading2"/>
        <w:keepNext/>
        <w:spacing w:before="240" w:after="120" w:line="360" w:lineRule="auto"/>
      </w:pPr>
      <w:bookmarkStart w:id="124" w:name="_Toc241908485"/>
      <w:r>
        <w:t>9.6 The Persian Period and the Return</w:t>
      </w:r>
      <w:bookmarkEnd w:id="124"/>
    </w:p>
    <w:p w:rsidR="008E4B08" w:rsidRDefault="00C51EF0">
      <w:pPr>
        <w:pStyle w:val="Heading3"/>
        <w:keepNext/>
        <w:spacing w:before="120" w:after="60" w:line="360" w:lineRule="auto"/>
      </w:pPr>
      <w:r>
        <w:t>9.6.1 The Cyrus Cylinder</w:t>
      </w:r>
    </w:p>
    <w:p w:rsidR="008E4B08" w:rsidRDefault="00C51EF0">
      <w:pPr>
        <w:spacing w:line="480" w:lineRule="auto"/>
        <w:jc w:val="both"/>
      </w:pPr>
      <w:r>
        <w:t xml:space="preserve">The Cyrus Cylinder, found in Babylon in 1879, records the capture of Babylon by Cyrus the Persian in 539 BC. It presents Cyrus as chosen by the god </w:t>
      </w:r>
      <w:proofErr w:type="spellStart"/>
      <w:r>
        <w:t>Marduk</w:t>
      </w:r>
      <w:proofErr w:type="spellEnd"/>
      <w:r>
        <w:t xml:space="preserve"> and describes his policy of allowing displaced peoples and their gods to return home. It does not mention the Jews, but it shows the kind of policy reflected in the decree of Cyrus in Ezra 1:2–4 and in Isaiah's description of Cyrus as the Lord's "anointed" (Isa 45:1).</w:t>
      </w:r>
      <w:r>
        <w:rPr>
          <w:vertAlign w:val="superscript"/>
        </w:rPr>
        <w:t>73</w:t>
      </w:r>
    </w:p>
    <w:p w:rsidR="008E4B08" w:rsidRDefault="00C51EF0">
      <w:pPr>
        <w:pStyle w:val="Heading3"/>
        <w:keepNext/>
        <w:spacing w:before="120" w:after="60" w:line="360" w:lineRule="auto"/>
      </w:pPr>
      <w:r>
        <w:t xml:space="preserve">9.6.2 The Province of </w:t>
      </w:r>
      <w:proofErr w:type="spellStart"/>
      <w:r>
        <w:t>Yehud</w:t>
      </w:r>
      <w:proofErr w:type="spellEnd"/>
    </w:p>
    <w:p w:rsidR="008E4B08" w:rsidRDefault="00C51EF0">
      <w:pPr>
        <w:spacing w:line="480" w:lineRule="auto"/>
        <w:jc w:val="both"/>
      </w:pPr>
      <w:r>
        <w:t xml:space="preserve">The Persian province of Judah was called </w:t>
      </w:r>
      <w:proofErr w:type="spellStart"/>
      <w:r>
        <w:t>Yehud</w:t>
      </w:r>
      <w:proofErr w:type="spellEnd"/>
      <w:r>
        <w:t>, and coins and seal impressions bearing this name have been found. Archaeological evidence suggests that Jerusalem in the Persian period was small, which agrees with Nehemiah's description of a city with few people (</w:t>
      </w:r>
      <w:proofErr w:type="spellStart"/>
      <w:r>
        <w:t>Neh</w:t>
      </w:r>
      <w:proofErr w:type="spellEnd"/>
      <w:r>
        <w:t xml:space="preserve"> 7:4).</w:t>
      </w:r>
    </w:p>
    <w:p w:rsidR="008E4B08" w:rsidRDefault="00C51EF0">
      <w:pPr>
        <w:pStyle w:val="Heading3"/>
        <w:keepNext/>
        <w:spacing w:before="120" w:after="60" w:line="360" w:lineRule="auto"/>
      </w:pPr>
      <w:r>
        <w:lastRenderedPageBreak/>
        <w:t>9.6.3 The Elephantine Papyri</w:t>
      </w:r>
    </w:p>
    <w:p w:rsidR="008E4B08" w:rsidRDefault="00C51EF0">
      <w:pPr>
        <w:spacing w:line="480" w:lineRule="auto"/>
        <w:jc w:val="both"/>
      </w:pPr>
      <w:r>
        <w:t xml:space="preserve">The Elephantine papyri come from a Jewish military community on an island in the Nile at Aswan in southern Egypt, on African soil, in the fifth century BC. One letter from 407 BC asks permission to rebuild the community's temple of </w:t>
      </w:r>
      <w:proofErr w:type="spellStart"/>
      <w:r>
        <w:t>Yahu</w:t>
      </w:r>
      <w:proofErr w:type="spellEnd"/>
      <w:r>
        <w:t xml:space="preserve"> (Yahweh), which Egyptian priests had destroyed. The letter is addressed to </w:t>
      </w:r>
      <w:proofErr w:type="spellStart"/>
      <w:r>
        <w:t>Bagohi</w:t>
      </w:r>
      <w:proofErr w:type="spellEnd"/>
      <w:r>
        <w:t xml:space="preserve">, governor of Judah, and mentions </w:t>
      </w:r>
      <w:proofErr w:type="spellStart"/>
      <w:r>
        <w:t>Johanan</w:t>
      </w:r>
      <w:proofErr w:type="spellEnd"/>
      <w:r>
        <w:t xml:space="preserve"> the high priest (compare </w:t>
      </w:r>
      <w:proofErr w:type="spellStart"/>
      <w:r>
        <w:t>Neh</w:t>
      </w:r>
      <w:proofErr w:type="spellEnd"/>
      <w:r>
        <w:t xml:space="preserve"> 12:22) and the sons of </w:t>
      </w:r>
      <w:proofErr w:type="spellStart"/>
      <w:r>
        <w:t>Sanballat</w:t>
      </w:r>
      <w:proofErr w:type="spellEnd"/>
      <w:r>
        <w:t>, governor of Samaria, who opposed Nehemiah (</w:t>
      </w:r>
      <w:proofErr w:type="spellStart"/>
      <w:r>
        <w:t>Neh</w:t>
      </w:r>
      <w:proofErr w:type="spellEnd"/>
      <w:r>
        <w:t xml:space="preserve"> 2:10). The papyri therefore confirm people known from Nehemiah and show how varied Jewish religious practice was in this period.</w:t>
      </w:r>
      <w:r>
        <w:rPr>
          <w:vertAlign w:val="superscript"/>
        </w:rPr>
        <w:t>74</w:t>
      </w:r>
    </w:p>
    <w:p w:rsidR="008E4B08" w:rsidRDefault="00C51EF0">
      <w:pPr>
        <w:pStyle w:val="Heading2"/>
        <w:keepNext/>
        <w:spacing w:before="240" w:after="120" w:line="360" w:lineRule="auto"/>
      </w:pPr>
      <w:bookmarkStart w:id="125" w:name="_Toc241908486"/>
      <w:r>
        <w:t>9.7 Summary</w:t>
      </w:r>
      <w:bookmarkEnd w:id="125"/>
    </w:p>
    <w:p w:rsidR="008E4B08" w:rsidRDefault="00C51EF0">
      <w:pPr>
        <w:spacing w:line="480" w:lineRule="auto"/>
        <w:jc w:val="both"/>
      </w:pPr>
      <w:r>
        <w:t xml:space="preserve">The period of the divided kingdom, the exile and the return shows remarkable agreement between the Bible and outside evidence. Assyrian and Babylonian records name </w:t>
      </w:r>
      <w:proofErr w:type="spellStart"/>
      <w:r>
        <w:t>Omri</w:t>
      </w:r>
      <w:proofErr w:type="spellEnd"/>
      <w:r>
        <w:t xml:space="preserve">, Ahab, Jehu, </w:t>
      </w:r>
      <w:proofErr w:type="spellStart"/>
      <w:r>
        <w:t>Menahem</w:t>
      </w:r>
      <w:proofErr w:type="spellEnd"/>
      <w:r>
        <w:t xml:space="preserve">, Hezekiah and </w:t>
      </w:r>
      <w:proofErr w:type="spellStart"/>
      <w:r>
        <w:t>Jehoiachin</w:t>
      </w:r>
      <w:proofErr w:type="spellEnd"/>
      <w:r>
        <w:t>, among others. Sennacherib's campaign is documented by Assyrian prisms, palace carvings and the excavation of Lachish. Seals, letters and amulets connect the world of Jeremiah with excavated Jerusalem. The Babylonian Chronicles date the first capture of Jerusalem exactly, and Persian-period documents shed light on the return. This agreement shows that Kings, Chronicles and the prophets drew on reliable sources, while also showing how the biblical writers selected and interpreted events from a theological point of view.</w:t>
      </w:r>
    </w:p>
    <w:p w:rsidR="008E4B08" w:rsidRDefault="00C51EF0">
      <w:pPr>
        <w:pStyle w:val="Heading2"/>
        <w:keepNext/>
        <w:spacing w:before="240" w:after="120" w:line="360" w:lineRule="auto"/>
      </w:pPr>
      <w:bookmarkStart w:id="126" w:name="_Toc241908487"/>
      <w:r>
        <w:t>9.8 Life Application</w:t>
      </w:r>
      <w:bookmarkEnd w:id="126"/>
    </w:p>
    <w:p w:rsidR="008E4B08" w:rsidRDefault="00C51EF0">
      <w:pPr>
        <w:spacing w:line="480" w:lineRule="auto"/>
        <w:jc w:val="both"/>
      </w:pPr>
      <w:r>
        <w:t>The period of the divided kingdom and the exile is both a solemn warning and a powerful encouragement. Its archaeology confirms that God's judgement and mercy both work in real history.</w:t>
      </w:r>
    </w:p>
    <w:p w:rsidR="008E4B08" w:rsidRDefault="00C51EF0">
      <w:pPr>
        <w:pStyle w:val="ListParagraph"/>
        <w:numPr>
          <w:ilvl w:val="0"/>
          <w:numId w:val="2"/>
        </w:numPr>
        <w:spacing w:line="480" w:lineRule="auto"/>
        <w:jc w:val="both"/>
      </w:pPr>
      <w:r>
        <w:rPr>
          <w:b/>
          <w:bCs/>
        </w:rPr>
        <w:t>Sin has real consequences.</w:t>
      </w:r>
      <w:r>
        <w:t xml:space="preserve"> The burnt houses of Jerusalem and the siege ramp at Lachish testify that the prophets' warnings came true. Nations and churches that turn from God cannot escape the consequences.</w:t>
      </w:r>
    </w:p>
    <w:p w:rsidR="008E4B08" w:rsidRDefault="00C51EF0">
      <w:pPr>
        <w:pStyle w:val="ListParagraph"/>
        <w:numPr>
          <w:ilvl w:val="0"/>
          <w:numId w:val="2"/>
        </w:numPr>
        <w:spacing w:line="480" w:lineRule="auto"/>
        <w:jc w:val="both"/>
      </w:pPr>
      <w:r>
        <w:rPr>
          <w:b/>
          <w:bCs/>
        </w:rPr>
        <w:lastRenderedPageBreak/>
        <w:t>God delivers those who trust him.</w:t>
      </w:r>
      <w:r>
        <w:t xml:space="preserve"> Sennacherib's own records admit that he did not take Jerusalem. Hezekiah's prayer was answered (2 Kgs 19:14–19). Believers under great pressure may bring their needs to God with confidence.</w:t>
      </w:r>
    </w:p>
    <w:p w:rsidR="008E4B08" w:rsidRDefault="00C51EF0">
      <w:pPr>
        <w:pStyle w:val="ListParagraph"/>
        <w:numPr>
          <w:ilvl w:val="0"/>
          <w:numId w:val="2"/>
        </w:numPr>
        <w:spacing w:line="480" w:lineRule="auto"/>
        <w:jc w:val="both"/>
      </w:pPr>
      <w:r>
        <w:rPr>
          <w:b/>
          <w:bCs/>
        </w:rPr>
        <w:t>Faithfulness in public service matters.</w:t>
      </w:r>
      <w:r>
        <w:t xml:space="preserve"> The seals of officials in Jeremiah's day remind us that leaders make choices that affect a whole nation. Christians in government and administration are called to integrity and courage.</w:t>
      </w:r>
    </w:p>
    <w:p w:rsidR="008E4B08" w:rsidRDefault="00C51EF0">
      <w:pPr>
        <w:pStyle w:val="ListParagraph"/>
        <w:numPr>
          <w:ilvl w:val="0"/>
          <w:numId w:val="2"/>
        </w:numPr>
        <w:spacing w:line="480" w:lineRule="auto"/>
        <w:jc w:val="both"/>
      </w:pPr>
      <w:r>
        <w:rPr>
          <w:b/>
          <w:bCs/>
        </w:rPr>
        <w:t>God's blessing reaches exiles.</w:t>
      </w:r>
      <w:r>
        <w:t xml:space="preserve"> The priestly blessing on the </w:t>
      </w:r>
      <w:proofErr w:type="spellStart"/>
      <w:r>
        <w:t>Ketef</w:t>
      </w:r>
      <w:proofErr w:type="spellEnd"/>
      <w:r>
        <w:t xml:space="preserve"> </w:t>
      </w:r>
      <w:proofErr w:type="spellStart"/>
      <w:r>
        <w:t>Hinnom</w:t>
      </w:r>
      <w:proofErr w:type="spellEnd"/>
      <w:r>
        <w:t xml:space="preserve"> amulets and the records of </w:t>
      </w:r>
      <w:proofErr w:type="spellStart"/>
      <w:r>
        <w:t>Judaeans</w:t>
      </w:r>
      <w:proofErr w:type="spellEnd"/>
      <w:r>
        <w:t xml:space="preserve"> in Babylon show that God's people lived and worshipped even in exile. God's presence is not limited to one place (</w:t>
      </w:r>
      <w:proofErr w:type="spellStart"/>
      <w:r>
        <w:t>Jer</w:t>
      </w:r>
      <w:proofErr w:type="spellEnd"/>
      <w:r>
        <w:t xml:space="preserve"> 29:7).</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Sovereign Lord, you rule over kings and empires. Keep me from the pride and idolatry that brought judgement on Israel and Judah. Teach me to pray like Hezekiah when I am surrounded, and to serve with integrity in every public trust. Bless me and keep me, make your face shine upon me, and give me peace. In Jesus' name. Amen.</w:t>
      </w:r>
    </w:p>
    <w:p w:rsidR="008E4B08" w:rsidRDefault="00C51EF0">
      <w:pPr>
        <w:pStyle w:val="Heading2"/>
        <w:keepNext/>
        <w:spacing w:before="240" w:after="120" w:line="360" w:lineRule="auto"/>
      </w:pPr>
      <w:bookmarkStart w:id="127" w:name="_Toc241908488"/>
      <w:r>
        <w:t>9.9 Discussion Questions</w:t>
      </w:r>
      <w:bookmarkEnd w:id="127"/>
    </w:p>
    <w:p w:rsidR="008E4B08" w:rsidRDefault="00C51EF0">
      <w:pPr>
        <w:tabs>
          <w:tab w:val="left" w:pos="720"/>
        </w:tabs>
        <w:spacing w:line="480" w:lineRule="auto"/>
        <w:ind w:left="720" w:hanging="360"/>
        <w:jc w:val="both"/>
      </w:pPr>
      <w:r>
        <w:t>1.</w:t>
      </w:r>
      <w:r>
        <w:tab/>
        <w:t>Compare the biblical and Assyrian accounts of Sennacherib's campaign of 701 BC. How should the differences be understood?</w:t>
      </w:r>
    </w:p>
    <w:p w:rsidR="008E4B08" w:rsidRDefault="00C51EF0">
      <w:pPr>
        <w:tabs>
          <w:tab w:val="left" w:pos="720"/>
        </w:tabs>
        <w:spacing w:line="480" w:lineRule="auto"/>
        <w:ind w:left="720" w:hanging="360"/>
        <w:jc w:val="both"/>
      </w:pPr>
      <w:r>
        <w:t>2.</w:t>
      </w:r>
      <w:r>
        <w:tab/>
        <w:t xml:space="preserve">What does the </w:t>
      </w:r>
      <w:proofErr w:type="spellStart"/>
      <w:r>
        <w:t>Mesha</w:t>
      </w:r>
      <w:proofErr w:type="spellEnd"/>
      <w:r>
        <w:t xml:space="preserve"> Inscription add to our understanding of 2 Kings 3?</w:t>
      </w:r>
    </w:p>
    <w:p w:rsidR="008E4B08" w:rsidRDefault="00C51EF0">
      <w:pPr>
        <w:tabs>
          <w:tab w:val="left" w:pos="720"/>
        </w:tabs>
        <w:spacing w:line="480" w:lineRule="auto"/>
        <w:ind w:left="720" w:hanging="360"/>
        <w:jc w:val="both"/>
      </w:pPr>
      <w:r>
        <w:t>3.</w:t>
      </w:r>
      <w:r>
        <w:tab/>
        <w:t xml:space="preserve">Assess the importance of the </w:t>
      </w:r>
      <w:proofErr w:type="spellStart"/>
      <w:r>
        <w:t>Ketef</w:t>
      </w:r>
      <w:proofErr w:type="spellEnd"/>
      <w:r>
        <w:t xml:space="preserve"> </w:t>
      </w:r>
      <w:proofErr w:type="spellStart"/>
      <w:r>
        <w:t>Hinnom</w:t>
      </w:r>
      <w:proofErr w:type="spellEnd"/>
      <w:r>
        <w:t xml:space="preserve"> amulets for the history of the biblical text.</w:t>
      </w:r>
    </w:p>
    <w:p w:rsidR="008E4B08" w:rsidRDefault="00C51EF0">
      <w:pPr>
        <w:tabs>
          <w:tab w:val="left" w:pos="720"/>
        </w:tabs>
        <w:spacing w:line="480" w:lineRule="auto"/>
        <w:ind w:left="720" w:hanging="360"/>
        <w:jc w:val="both"/>
      </w:pPr>
      <w:r>
        <w:t>4.</w:t>
      </w:r>
      <w:r>
        <w:tab/>
        <w:t>How does the archaeological evidence for popular religion help us understand the message of the prophets?</w:t>
      </w:r>
    </w:p>
    <w:p w:rsidR="008E4B08" w:rsidRDefault="00C51EF0">
      <w:pPr>
        <w:pStyle w:val="Heading2"/>
        <w:keepNext/>
        <w:spacing w:before="240" w:after="120" w:line="360" w:lineRule="auto"/>
      </w:pPr>
      <w:bookmarkStart w:id="128" w:name="_Toc241908489"/>
      <w:r>
        <w:t>9.10 Further Reading</w:t>
      </w:r>
      <w:bookmarkEnd w:id="128"/>
    </w:p>
    <w:p w:rsidR="008E4B08" w:rsidRDefault="00C51EF0">
      <w:pPr>
        <w:spacing w:after="160"/>
        <w:ind w:left="720" w:hanging="720"/>
      </w:pPr>
      <w:proofErr w:type="spellStart"/>
      <w:r>
        <w:t>Mazar</w:t>
      </w:r>
      <w:proofErr w:type="spellEnd"/>
      <w:r>
        <w:t xml:space="preserve">, </w:t>
      </w:r>
      <w:proofErr w:type="spellStart"/>
      <w:r>
        <w:t>Amihai</w:t>
      </w:r>
      <w:proofErr w:type="spellEnd"/>
      <w:r>
        <w:t xml:space="preserve">. </w:t>
      </w:r>
      <w:r>
        <w:rPr>
          <w:i/>
          <w:iCs/>
        </w:rPr>
        <w:t>Archaeology of the Land of the Bible, 10,000–586 B.C.E.</w:t>
      </w:r>
      <w:r>
        <w:t xml:space="preserve"> New York: Doubleday, 1990.</w:t>
      </w:r>
    </w:p>
    <w:p w:rsidR="008E4B08" w:rsidRDefault="00C51EF0">
      <w:pPr>
        <w:spacing w:after="160"/>
        <w:ind w:left="720" w:hanging="720"/>
      </w:pPr>
      <w:r>
        <w:t xml:space="preserve">Stern, Ephraim. </w:t>
      </w:r>
      <w:r>
        <w:rPr>
          <w:i/>
          <w:iCs/>
        </w:rPr>
        <w:t>Archaeology of the Land of the Bible</w:t>
      </w:r>
      <w:r>
        <w:t xml:space="preserve">, vol. 2, </w:t>
      </w:r>
      <w:proofErr w:type="gramStart"/>
      <w:r>
        <w:rPr>
          <w:i/>
          <w:iCs/>
        </w:rPr>
        <w:t>The</w:t>
      </w:r>
      <w:proofErr w:type="gramEnd"/>
      <w:r>
        <w:rPr>
          <w:i/>
          <w:iCs/>
        </w:rPr>
        <w:t xml:space="preserve"> Assyrian, Babylonian, and Persian Periods, 732–332 B.C.E.</w:t>
      </w:r>
      <w:r>
        <w:t xml:space="preserve"> New York: Doubleday, 2001.</w:t>
      </w:r>
    </w:p>
    <w:p w:rsidR="008E4B08" w:rsidRDefault="00C51EF0">
      <w:pPr>
        <w:spacing w:after="160"/>
        <w:ind w:left="720" w:hanging="720"/>
      </w:pPr>
      <w:proofErr w:type="spellStart"/>
      <w:r>
        <w:lastRenderedPageBreak/>
        <w:t>Ussishkin</w:t>
      </w:r>
      <w:proofErr w:type="spellEnd"/>
      <w:r>
        <w:t xml:space="preserve">, David. </w:t>
      </w:r>
      <w:r>
        <w:rPr>
          <w:i/>
          <w:iCs/>
        </w:rPr>
        <w:t>The Conquest of Lachish by Sennacherib</w:t>
      </w:r>
      <w:r>
        <w:t>. Tel Aviv: Tel Aviv University, 1982.</w:t>
      </w:r>
    </w:p>
    <w:p w:rsidR="008E4B08" w:rsidRDefault="00C51EF0">
      <w:pPr>
        <w:pStyle w:val="Heading1"/>
        <w:pageBreakBefore/>
        <w:spacing w:after="360" w:line="360" w:lineRule="auto"/>
        <w:jc w:val="center"/>
      </w:pPr>
      <w:bookmarkStart w:id="129" w:name="_Toc241908490"/>
      <w:r>
        <w:lastRenderedPageBreak/>
        <w:t>UNIT TEN: THE DEAD SEA SCROLLS AND THE WORLD OF SECOND TEMPLE JUDAISM</w:t>
      </w:r>
      <w:bookmarkEnd w:id="129"/>
    </w:p>
    <w:p w:rsidR="008E4B08" w:rsidRDefault="00C51EF0">
      <w:pPr>
        <w:pStyle w:val="Heading2"/>
        <w:keepNext/>
        <w:spacing w:before="240" w:after="120" w:line="360" w:lineRule="auto"/>
      </w:pPr>
      <w:bookmarkStart w:id="130" w:name="_Toc241908491"/>
      <w:r>
        <w:t>10.1 Introduction</w:t>
      </w:r>
      <w:bookmarkEnd w:id="130"/>
    </w:p>
    <w:p w:rsidR="008E4B08" w:rsidRDefault="00C51EF0">
      <w:pPr>
        <w:spacing w:line="480" w:lineRule="auto"/>
        <w:jc w:val="both"/>
      </w:pPr>
      <w:r>
        <w:t>The discovery of the Dead Sea Scrolls between 1947 and 1956 has been called the greatest manuscript discovery of the twentieth century. The scrolls changed our understanding of the text of the Old Testament, of Judaism in the period between the Testaments, and of the Jewish background of the New Testament. This unit describes how the scrolls were found, what they contain and what the archaeology of Qumran tells us. It also briefly surveys other evidence from the Greek and early Roman periods.</w:t>
      </w:r>
    </w:p>
    <w:p w:rsidR="008E4B08" w:rsidRDefault="00C51EF0">
      <w:pPr>
        <w:pStyle w:val="Heading2"/>
        <w:keepNext/>
        <w:spacing w:before="240" w:after="120" w:line="360" w:lineRule="auto"/>
      </w:pPr>
      <w:bookmarkStart w:id="131" w:name="_Toc241908492"/>
      <w:r>
        <w:t>10.2 Learning Objectives</w:t>
      </w:r>
      <w:bookmarkEnd w:id="131"/>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tell the story of the discovery of the Dead Sea Scrolls;</w:t>
      </w:r>
    </w:p>
    <w:p w:rsidR="008E4B08" w:rsidRDefault="00C51EF0">
      <w:pPr>
        <w:pStyle w:val="ListParagraph"/>
        <w:numPr>
          <w:ilvl w:val="0"/>
          <w:numId w:val="2"/>
        </w:numPr>
        <w:spacing w:line="480" w:lineRule="auto"/>
        <w:jc w:val="both"/>
      </w:pPr>
      <w:r>
        <w:t>describe the main kinds of texts found at Qumran;</w:t>
      </w:r>
    </w:p>
    <w:p w:rsidR="008E4B08" w:rsidRDefault="00C51EF0">
      <w:pPr>
        <w:pStyle w:val="ListParagraph"/>
        <w:numPr>
          <w:ilvl w:val="0"/>
          <w:numId w:val="2"/>
        </w:numPr>
        <w:spacing w:line="480" w:lineRule="auto"/>
        <w:jc w:val="both"/>
      </w:pPr>
      <w:r>
        <w:t>evaluate the debate about the site of Qumran and the people who lived there; and</w:t>
      </w:r>
    </w:p>
    <w:p w:rsidR="008E4B08" w:rsidRDefault="00C51EF0">
      <w:pPr>
        <w:pStyle w:val="ListParagraph"/>
        <w:numPr>
          <w:ilvl w:val="0"/>
          <w:numId w:val="2"/>
        </w:numPr>
        <w:spacing w:line="480" w:lineRule="auto"/>
        <w:jc w:val="both"/>
      </w:pPr>
      <w:proofErr w:type="gramStart"/>
      <w:r>
        <w:t>explain</w:t>
      </w:r>
      <w:proofErr w:type="gramEnd"/>
      <w:r>
        <w:t xml:space="preserve"> the importance of the scrolls for the Old Testament text and for New Testament study.</w:t>
      </w:r>
    </w:p>
    <w:p w:rsidR="008E4B08" w:rsidRDefault="00C51EF0">
      <w:pPr>
        <w:pStyle w:val="Heading2"/>
        <w:keepNext/>
        <w:spacing w:before="240" w:after="120" w:line="360" w:lineRule="auto"/>
      </w:pPr>
      <w:bookmarkStart w:id="132" w:name="_Toc241908493"/>
      <w:r>
        <w:t>10.3 The Discovery</w:t>
      </w:r>
      <w:bookmarkEnd w:id="132"/>
    </w:p>
    <w:p w:rsidR="008E4B08" w:rsidRDefault="00C51EF0">
      <w:pPr>
        <w:spacing w:line="480" w:lineRule="auto"/>
        <w:jc w:val="both"/>
      </w:pPr>
      <w:r>
        <w:t>In the winter of 1946–1947, Bedouin shepherds entered a cave in the cliffs near the north-western shore of the Dead Sea and found clay jars containing ancient scrolls. Seven scrolls from this cave, later called Cave 1, reached scholars. They included a complete scroll of Isaiah (1QIsa</w:t>
      </w:r>
      <w:r>
        <w:rPr>
          <w:vertAlign w:val="superscript"/>
        </w:rPr>
        <w:t>a</w:t>
      </w:r>
      <w:r>
        <w:t xml:space="preserve">), a commentary on Habakkuk, a rule book for a religious community, a scroll about a final war and a collection of hymns. </w:t>
      </w:r>
      <w:proofErr w:type="spellStart"/>
      <w:r>
        <w:t>Eleazar</w:t>
      </w:r>
      <w:proofErr w:type="spellEnd"/>
      <w:r>
        <w:t xml:space="preserve"> </w:t>
      </w:r>
      <w:proofErr w:type="spellStart"/>
      <w:r>
        <w:t>Sukenik</w:t>
      </w:r>
      <w:proofErr w:type="spellEnd"/>
      <w:r>
        <w:t xml:space="preserve"> of the Hebrew University recognised their great age, and American scholars in Jerusalem photographed several of them in 1948.</w:t>
      </w:r>
    </w:p>
    <w:p w:rsidR="008E4B08" w:rsidRDefault="00C51EF0">
      <w:pPr>
        <w:spacing w:line="480" w:lineRule="auto"/>
        <w:ind w:firstLine="720"/>
        <w:jc w:val="both"/>
      </w:pPr>
      <w:r>
        <w:lastRenderedPageBreak/>
        <w:t>Between 1949 and 1956, archaeologists and Bedouin searched the nearby caves. Eleven caves in the Qumran area produced manuscripts. Cave 4, found in 1952, was the richest, with fragments of about 500 to 600 manuscripts. Altogether, remains of more than 900 manuscripts were recovered, mostly in small pieces. Publication was very slow, and by the 1980s scholars complained that many texts were still unavailable. In 1991 photographs of the unpublished texts were released, and the official publication was completed in the following two decades.</w:t>
      </w:r>
    </w:p>
    <w:p w:rsidR="008E4B08" w:rsidRDefault="00C51EF0">
      <w:pPr>
        <w:spacing w:line="480" w:lineRule="auto"/>
        <w:ind w:firstLine="720"/>
        <w:jc w:val="both"/>
      </w:pPr>
      <w:r>
        <w:rPr>
          <w:b/>
          <w:bCs/>
        </w:rPr>
        <w:t>Example.</w:t>
      </w:r>
      <w:r>
        <w:t xml:space="preserve"> The discovery is like a family finding an old box of letters and documents hidden in the ceiling of their grandfather's house. Many of the papers are torn and faded, and it takes years of patient work to put the pieces together and understand them. The scrolls were found in a similar state, and scholars spent decades piecing them together.</w:t>
      </w:r>
    </w:p>
    <w:p w:rsidR="008E4B08" w:rsidRDefault="00C51EF0">
      <w:pPr>
        <w:pStyle w:val="Heading2"/>
        <w:keepNext/>
        <w:spacing w:before="240" w:after="120" w:line="360" w:lineRule="auto"/>
      </w:pPr>
      <w:bookmarkStart w:id="133" w:name="_Toc241908494"/>
      <w:r>
        <w:t>10.4 What the Scrolls Contain</w:t>
      </w:r>
      <w:bookmarkEnd w:id="133"/>
    </w:p>
    <w:p w:rsidR="008E4B08" w:rsidRDefault="00C51EF0">
      <w:pPr>
        <w:spacing w:line="480" w:lineRule="auto"/>
        <w:jc w:val="both"/>
      </w:pPr>
      <w:r>
        <w:t>The Qumran manuscripts fall into three main groups.</w:t>
      </w:r>
    </w:p>
    <w:p w:rsidR="008E4B08" w:rsidRDefault="00C51EF0">
      <w:pPr>
        <w:spacing w:line="480" w:lineRule="auto"/>
        <w:ind w:firstLine="720"/>
        <w:jc w:val="both"/>
      </w:pPr>
      <w:r>
        <w:rPr>
          <w:b/>
          <w:bCs/>
        </w:rPr>
        <w:t>Biblical manuscripts.</w:t>
      </w:r>
      <w:r>
        <w:t xml:space="preserve"> About 230 manuscripts contain books of the Hebrew Bible. Every book except Esther is represented. The books most often found are Psalms, Deuteronomy, Isaiah and Genesis, which are also among the books most quoted in the New Testament.</w:t>
      </w:r>
    </w:p>
    <w:p w:rsidR="008E4B08" w:rsidRDefault="00C51EF0">
      <w:pPr>
        <w:spacing w:line="480" w:lineRule="auto"/>
        <w:ind w:firstLine="720"/>
        <w:jc w:val="both"/>
      </w:pPr>
      <w:r>
        <w:rPr>
          <w:b/>
          <w:bCs/>
        </w:rPr>
        <w:t>Other Jewish religious texts.</w:t>
      </w:r>
      <w:r>
        <w:t xml:space="preserve"> These include books already known, such as </w:t>
      </w:r>
      <w:r>
        <w:rPr>
          <w:i/>
          <w:iCs/>
        </w:rPr>
        <w:t>Jubilees</w:t>
      </w:r>
      <w:r>
        <w:t xml:space="preserve">, </w:t>
      </w:r>
      <w:r>
        <w:rPr>
          <w:i/>
          <w:iCs/>
        </w:rPr>
        <w:t>1 Enoch</w:t>
      </w:r>
      <w:r>
        <w:t xml:space="preserve"> and </w:t>
      </w:r>
      <w:r>
        <w:rPr>
          <w:i/>
          <w:iCs/>
        </w:rPr>
        <w:t>Tobit</w:t>
      </w:r>
      <w:r>
        <w:t xml:space="preserve">, and many books previously unknown, such as the </w:t>
      </w:r>
      <w:r>
        <w:rPr>
          <w:i/>
          <w:iCs/>
        </w:rPr>
        <w:t xml:space="preserve">Genesis </w:t>
      </w:r>
      <w:proofErr w:type="spellStart"/>
      <w:r>
        <w:rPr>
          <w:i/>
          <w:iCs/>
        </w:rPr>
        <w:t>Apocryphon</w:t>
      </w:r>
      <w:proofErr w:type="spellEnd"/>
      <w:r>
        <w:t>, which retells stories from Genesis, and various wisdom and prayer texts.</w:t>
      </w:r>
    </w:p>
    <w:p w:rsidR="008E4B08" w:rsidRDefault="00C51EF0">
      <w:pPr>
        <w:spacing w:line="480" w:lineRule="auto"/>
        <w:ind w:firstLine="720"/>
        <w:jc w:val="both"/>
      </w:pPr>
      <w:r>
        <w:rPr>
          <w:b/>
          <w:bCs/>
        </w:rPr>
        <w:t>Texts of the community.</w:t>
      </w:r>
      <w:r>
        <w:t xml:space="preserve"> Some texts reflect the beliefs and practices of a particular religious group. They include the </w:t>
      </w:r>
      <w:r>
        <w:rPr>
          <w:i/>
          <w:iCs/>
        </w:rPr>
        <w:t>Community Rule</w:t>
      </w:r>
      <w:r>
        <w:t xml:space="preserve">, the </w:t>
      </w:r>
      <w:r>
        <w:rPr>
          <w:i/>
          <w:iCs/>
        </w:rPr>
        <w:t>Damascus Document</w:t>
      </w:r>
      <w:r>
        <w:t xml:space="preserve">, the </w:t>
      </w:r>
      <w:r>
        <w:rPr>
          <w:i/>
          <w:iCs/>
        </w:rPr>
        <w:t>War Scroll</w:t>
      </w:r>
      <w:r>
        <w:t xml:space="preserve">, the </w:t>
      </w:r>
      <w:r>
        <w:rPr>
          <w:i/>
          <w:iCs/>
        </w:rPr>
        <w:t>Thanksgiving Hymns</w:t>
      </w:r>
      <w:r>
        <w:t xml:space="preserve">, commentaries on the prophets called </w:t>
      </w:r>
      <w:proofErr w:type="spellStart"/>
      <w:r>
        <w:rPr>
          <w:i/>
          <w:iCs/>
        </w:rPr>
        <w:t>pesharim</w:t>
      </w:r>
      <w:proofErr w:type="spellEnd"/>
      <w:r>
        <w:t xml:space="preserve">, and legal texts such as </w:t>
      </w:r>
      <w:proofErr w:type="gramStart"/>
      <w:r>
        <w:rPr>
          <w:i/>
          <w:iCs/>
        </w:rPr>
        <w:t>Some</w:t>
      </w:r>
      <w:proofErr w:type="gramEnd"/>
      <w:r>
        <w:rPr>
          <w:i/>
          <w:iCs/>
        </w:rPr>
        <w:t xml:space="preserve"> of the Works of the Law</w:t>
      </w:r>
      <w:r>
        <w:t xml:space="preserve"> (4QMMT). They speak of a "Teacher of Righteousness" who was opposed by a "Wicked Priest", and of a community that saw itself as God's faithful remnant living in the last days.</w:t>
      </w:r>
    </w:p>
    <w:p w:rsidR="008E4B08" w:rsidRDefault="00C51EF0">
      <w:pPr>
        <w:spacing w:line="480" w:lineRule="auto"/>
        <w:ind w:firstLine="720"/>
        <w:jc w:val="both"/>
      </w:pPr>
      <w:r>
        <w:lastRenderedPageBreak/>
        <w:t>The scrolls were written mainly in Hebrew, with some in Aramaic and a few in Greek. The study of handwriting and radiocarbon dating place most of them between the second century BC and the first century AD.</w:t>
      </w:r>
      <w:r>
        <w:rPr>
          <w:vertAlign w:val="superscript"/>
        </w:rPr>
        <w:t>75</w:t>
      </w:r>
    </w:p>
    <w:p w:rsidR="008E4B08" w:rsidRDefault="00C51EF0">
      <w:pPr>
        <w:pStyle w:val="Heading2"/>
        <w:keepNext/>
        <w:spacing w:before="240" w:after="120" w:line="360" w:lineRule="auto"/>
      </w:pPr>
      <w:bookmarkStart w:id="134" w:name="_Toc241908495"/>
      <w:r>
        <w:t>10.5 The Archaeology of Qumran</w:t>
      </w:r>
      <w:bookmarkEnd w:id="134"/>
    </w:p>
    <w:p w:rsidR="008E4B08" w:rsidRDefault="00C51EF0">
      <w:pPr>
        <w:spacing w:line="480" w:lineRule="auto"/>
        <w:jc w:val="both"/>
      </w:pPr>
      <w:r>
        <w:t xml:space="preserve">Khirbet Qumran, a ruin on a flat terrace near the caves, was excavated by Roland de Vaux of the </w:t>
      </w:r>
      <w:proofErr w:type="spellStart"/>
      <w:r>
        <w:t>École</w:t>
      </w:r>
      <w:proofErr w:type="spellEnd"/>
      <w:r>
        <w:t xml:space="preserve"> </w:t>
      </w:r>
      <w:proofErr w:type="spellStart"/>
      <w:r>
        <w:t>Biblique</w:t>
      </w:r>
      <w:proofErr w:type="spellEnd"/>
      <w:r>
        <w:t xml:space="preserve"> in Jerusalem between 1951 and 1956. De Vaux concluded that it was the </w:t>
      </w:r>
      <w:proofErr w:type="spellStart"/>
      <w:r>
        <w:t>centre</w:t>
      </w:r>
      <w:proofErr w:type="spellEnd"/>
      <w:r>
        <w:t xml:space="preserve"> of a Jewish religious group, which he identified with the Essenes described by the ancient writers Pliny the Elder, Philo and Josephus. He found a room with tables and inkwells, which he called a "scriptorium" (writing room), a large hall used for meetings and meals, many ritual baths and a cemetery of more than 1,000 graves. He dated the main period of occupation from the late second century BC to AD 68, when the Romans destroyed the site during the Jewish revolt.</w:t>
      </w:r>
    </w:p>
    <w:p w:rsidR="008E4B08" w:rsidRDefault="00C51EF0">
      <w:pPr>
        <w:spacing w:line="480" w:lineRule="auto"/>
        <w:ind w:firstLine="720"/>
        <w:jc w:val="both"/>
      </w:pPr>
      <w:r>
        <w:t xml:space="preserve">The Essene view has been widely accepted, but it has also been challenged. Some scholars have suggested that Qumran was a country house, a fortress, a pottery workshop or a trading post, and that the scrolls came from libraries in Jerusalem hidden during the revolt. Jodi </w:t>
      </w:r>
      <w:proofErr w:type="spellStart"/>
      <w:r>
        <w:t>Magness</w:t>
      </w:r>
      <w:proofErr w:type="spellEnd"/>
      <w:r>
        <w:t>, after a careful review, argues that the pottery, ritual baths, shared meals and burials all support the view that Qumran was the settlement of a religious community, most probably Essene, linked with the scrolls in the nearby caves.</w:t>
      </w:r>
      <w:r>
        <w:rPr>
          <w:vertAlign w:val="superscript"/>
        </w:rPr>
        <w:t>76</w:t>
      </w:r>
      <w:r>
        <w:t xml:space="preserve"> Cave 4 lies within a few </w:t>
      </w:r>
      <w:proofErr w:type="spellStart"/>
      <w:r>
        <w:t>metres</w:t>
      </w:r>
      <w:proofErr w:type="spellEnd"/>
      <w:r>
        <w:t xml:space="preserve"> of the settlement, and Caves 7, 8 and 9 could be reached only by passing through it. This strengthens the connection between the settlement and the scrolls.</w:t>
      </w:r>
    </w:p>
    <w:p w:rsidR="008E4B08" w:rsidRDefault="00C51EF0">
      <w:pPr>
        <w:pStyle w:val="Heading2"/>
        <w:keepNext/>
        <w:spacing w:before="240" w:after="120" w:line="360" w:lineRule="auto"/>
      </w:pPr>
      <w:bookmarkStart w:id="135" w:name="_Toc241908496"/>
      <w:r>
        <w:t>10.6 Importance for the Text of the Old Testament</w:t>
      </w:r>
      <w:bookmarkEnd w:id="135"/>
    </w:p>
    <w:p w:rsidR="008E4B08" w:rsidRDefault="00C51EF0">
      <w:pPr>
        <w:spacing w:line="480" w:lineRule="auto"/>
        <w:jc w:val="both"/>
      </w:pPr>
      <w:r>
        <w:t xml:space="preserve">Before the scrolls were found, the oldest complete Hebrew manuscripts of the Old Testament were the Aleppo Codex (about AD 930) and the Leningrad Codex (AD 1008), both produced </w:t>
      </w:r>
      <w:r>
        <w:lastRenderedPageBreak/>
        <w:t xml:space="preserve">by Jewish scribes called the </w:t>
      </w:r>
      <w:proofErr w:type="spellStart"/>
      <w:r>
        <w:t>Masoretes</w:t>
      </w:r>
      <w:proofErr w:type="spellEnd"/>
      <w:r>
        <w:t>. The Qumran biblical manuscripts are about a thousand years older.</w:t>
      </w:r>
    </w:p>
    <w:p w:rsidR="008E4B08" w:rsidRDefault="00C51EF0">
      <w:pPr>
        <w:spacing w:line="480" w:lineRule="auto"/>
        <w:ind w:firstLine="720"/>
        <w:jc w:val="both"/>
      </w:pPr>
      <w:r>
        <w:t>The great Isaiah Scroll, from the second century BC, is essentially the same as the later Masoretic text of Isaiah, despite many small differences in spelling and some different readings. This shows the remarkable care with which the text was copied over a thousand years.</w:t>
      </w:r>
    </w:p>
    <w:p w:rsidR="008E4B08" w:rsidRDefault="00C51EF0">
      <w:pPr>
        <w:spacing w:line="480" w:lineRule="auto"/>
        <w:ind w:firstLine="720"/>
        <w:jc w:val="both"/>
      </w:pPr>
      <w:r>
        <w:rPr>
          <w:b/>
          <w:bCs/>
        </w:rPr>
        <w:t>Example.</w:t>
      </w:r>
      <w:r>
        <w:t xml:space="preserve"> Imagine a message passed by hand-copying from one scribe to another for a thousand years. We might expect it to change greatly. Yet when scholars compared the Isaiah Scroll with manuscripts copied a thousand years later, the text was almost the same. This gives Christians good reason to trust that the Old Testament we read has been faithfully preserved.</w:t>
      </w:r>
    </w:p>
    <w:p w:rsidR="008E4B08" w:rsidRDefault="00C51EF0">
      <w:pPr>
        <w:spacing w:line="480" w:lineRule="auto"/>
        <w:ind w:firstLine="720"/>
        <w:jc w:val="both"/>
      </w:pPr>
      <w:r>
        <w:t>At the same time, the scrolls show that in the period before Christ the biblical text existed in more than one form. Some manuscripts are close to the Masoretic text. Others resemble the Hebrew text behind the Greek translation called the Septuagint; for example, the Septuagint text of Jeremiah is about one-eighth shorter and arranged differently. Others resemble the Samaritan Pentateuch, and some are independent. Emanuel Tov describes this as textual variety, or "pluriformity".</w:t>
      </w:r>
      <w:r>
        <w:rPr>
          <w:vertAlign w:val="superscript"/>
        </w:rPr>
        <w:t>77</w:t>
      </w:r>
      <w:r>
        <w:t xml:space="preserve"> </w:t>
      </w:r>
      <w:proofErr w:type="gramStart"/>
      <w:r>
        <w:t>The</w:t>
      </w:r>
      <w:proofErr w:type="gramEnd"/>
      <w:r>
        <w:t xml:space="preserve"> scrolls therefore strengthen confidence in the general reliability of the Hebrew text while also showing why textual criticism, the careful comparison of manuscripts, is needed.</w:t>
      </w:r>
    </w:p>
    <w:p w:rsidR="008E4B08" w:rsidRDefault="00C51EF0">
      <w:pPr>
        <w:spacing w:line="480" w:lineRule="auto"/>
        <w:ind w:firstLine="720"/>
        <w:jc w:val="both"/>
      </w:pPr>
      <w:r>
        <w:t xml:space="preserve">A well-known example is 1 Samuel 10–11. A Qumran manuscript of Samuel contains a paragraph, missing from the Masoretic text but known to Josephus, describing the cruelty of </w:t>
      </w:r>
      <w:proofErr w:type="spellStart"/>
      <w:r>
        <w:t>Nahash</w:t>
      </w:r>
      <w:proofErr w:type="spellEnd"/>
      <w:r>
        <w:t xml:space="preserve"> the Ammonite. It explains the events of 1 Samuel 11. Some modern English translations, such as the New Revised Standard Version, include this paragraph.</w:t>
      </w:r>
    </w:p>
    <w:p w:rsidR="008E4B08" w:rsidRDefault="00C51EF0">
      <w:pPr>
        <w:pStyle w:val="Heading2"/>
        <w:keepNext/>
        <w:spacing w:before="240" w:after="120" w:line="360" w:lineRule="auto"/>
      </w:pPr>
      <w:bookmarkStart w:id="136" w:name="_Toc241908497"/>
      <w:r>
        <w:t>10.7 Importance for the New Testament</w:t>
      </w:r>
      <w:bookmarkEnd w:id="136"/>
    </w:p>
    <w:p w:rsidR="008E4B08" w:rsidRDefault="00C51EF0">
      <w:pPr>
        <w:spacing w:line="480" w:lineRule="auto"/>
        <w:jc w:val="both"/>
      </w:pPr>
      <w:r>
        <w:t>The scrolls are not Christian documents. Claims that they mention Jesus, John the Baptist or James have not been accepted by scholars. Yet they are very important for New Testament study because they show the Jewish world in which Jesus and the apostles lived.</w:t>
      </w:r>
    </w:p>
    <w:p w:rsidR="008E4B08" w:rsidRDefault="00C51EF0">
      <w:pPr>
        <w:pStyle w:val="ListParagraph"/>
        <w:numPr>
          <w:ilvl w:val="0"/>
          <w:numId w:val="2"/>
        </w:numPr>
        <w:spacing w:line="480" w:lineRule="auto"/>
        <w:jc w:val="both"/>
      </w:pPr>
      <w:r>
        <w:rPr>
          <w:b/>
          <w:bCs/>
        </w:rPr>
        <w:lastRenderedPageBreak/>
        <w:t>Hope for the Messiah.</w:t>
      </w:r>
      <w:r>
        <w:t xml:space="preserve"> The scrolls speak of two messiahs: a priestly messiah of Aaron and a royal messiah of Israel. One fragment (4Q521) describes the works of God in the messianic age in words close to Jesus' answer to John the Baptist (Matt 11:5; Luke 7:22), including the raising of the dead and good news for the poor.</w:t>
      </w:r>
    </w:p>
    <w:p w:rsidR="008E4B08" w:rsidRDefault="00C51EF0">
      <w:pPr>
        <w:pStyle w:val="ListParagraph"/>
        <w:numPr>
          <w:ilvl w:val="0"/>
          <w:numId w:val="2"/>
        </w:numPr>
        <w:spacing w:line="480" w:lineRule="auto"/>
        <w:jc w:val="both"/>
      </w:pPr>
      <w:r>
        <w:rPr>
          <w:b/>
          <w:bCs/>
        </w:rPr>
        <w:t>Light and darkness.</w:t>
      </w:r>
      <w:r>
        <w:t xml:space="preserve"> The scrolls speak of a conflict between the "sons of light" and the "sons of darkness". Similar language appears in John's Gospel and Paul's letters, showing that it was at home in Jewish Palestine and did not need to come from later Greek thought.</w:t>
      </w:r>
    </w:p>
    <w:p w:rsidR="008E4B08" w:rsidRDefault="00C51EF0">
      <w:pPr>
        <w:pStyle w:val="ListParagraph"/>
        <w:numPr>
          <w:ilvl w:val="0"/>
          <w:numId w:val="2"/>
        </w:numPr>
        <w:spacing w:line="480" w:lineRule="auto"/>
        <w:jc w:val="both"/>
      </w:pPr>
      <w:r>
        <w:rPr>
          <w:b/>
          <w:bCs/>
        </w:rPr>
        <w:t>Reading Scripture.</w:t>
      </w:r>
      <w:r>
        <w:t xml:space="preserve"> The </w:t>
      </w:r>
      <w:proofErr w:type="spellStart"/>
      <w:r>
        <w:rPr>
          <w:i/>
          <w:iCs/>
        </w:rPr>
        <w:t>pesharim</w:t>
      </w:r>
      <w:proofErr w:type="spellEnd"/>
      <w:r>
        <w:t xml:space="preserve"> read the prophets as fulfilled in the community's own experience, which can be compared with the way Matthew and Acts show Scripture being fulfilled in Jesus.</w:t>
      </w:r>
    </w:p>
    <w:p w:rsidR="008E4B08" w:rsidRDefault="00C51EF0">
      <w:pPr>
        <w:pStyle w:val="ListParagraph"/>
        <w:numPr>
          <w:ilvl w:val="0"/>
          <w:numId w:val="2"/>
        </w:numPr>
        <w:spacing w:line="480" w:lineRule="auto"/>
        <w:jc w:val="both"/>
      </w:pPr>
      <w:r>
        <w:rPr>
          <w:b/>
          <w:bCs/>
        </w:rPr>
        <w:t>Community life.</w:t>
      </w:r>
      <w:r>
        <w:t xml:space="preserve"> The community's sharing of property, common meals and rules for correcting members can be compared with the early Jerusalem church (Acts 2:44–45; 4:32–37) and with Matthew 18:15–17.</w:t>
      </w:r>
    </w:p>
    <w:p w:rsidR="008E4B08" w:rsidRDefault="00C51EF0">
      <w:pPr>
        <w:pStyle w:val="ListParagraph"/>
        <w:numPr>
          <w:ilvl w:val="0"/>
          <w:numId w:val="2"/>
        </w:numPr>
        <w:spacing w:line="480" w:lineRule="auto"/>
        <w:jc w:val="both"/>
      </w:pPr>
      <w:r>
        <w:rPr>
          <w:b/>
          <w:bCs/>
        </w:rPr>
        <w:t>"Works of the law".</w:t>
      </w:r>
      <w:r>
        <w:t xml:space="preserve"> The phrase "some of the works of the law" in 4QMMT, referring to practices that set the community apart, has been important in discussions of Paul's use of the phrase in Galatians and Romans.</w:t>
      </w:r>
    </w:p>
    <w:p w:rsidR="008E4B08" w:rsidRDefault="00C51EF0">
      <w:pPr>
        <w:pStyle w:val="Heading2"/>
        <w:keepNext/>
        <w:spacing w:before="240" w:after="120" w:line="360" w:lineRule="auto"/>
      </w:pPr>
      <w:bookmarkStart w:id="137" w:name="_Toc241908498"/>
      <w:r>
        <w:t>10.8 Other Evidence from the Greek and Early Roman Periods</w:t>
      </w:r>
      <w:bookmarkEnd w:id="137"/>
    </w:p>
    <w:p w:rsidR="008E4B08" w:rsidRDefault="00C51EF0">
      <w:pPr>
        <w:pStyle w:val="ListParagraph"/>
        <w:numPr>
          <w:ilvl w:val="0"/>
          <w:numId w:val="2"/>
        </w:numPr>
        <w:spacing w:line="480" w:lineRule="auto"/>
        <w:jc w:val="both"/>
      </w:pPr>
      <w:r>
        <w:rPr>
          <w:b/>
          <w:bCs/>
        </w:rPr>
        <w:t>Building by the Hasmonean kings and Herod the Great.</w:t>
      </w:r>
      <w:r>
        <w:t xml:space="preserve"> Herod's projects include the enlargement of the Temple Mount in Jerusalem, the </w:t>
      </w:r>
      <w:proofErr w:type="spellStart"/>
      <w:r>
        <w:t>harbour</w:t>
      </w:r>
      <w:proofErr w:type="spellEnd"/>
      <w:r>
        <w:t xml:space="preserve"> city of Caesarea </w:t>
      </w:r>
      <w:proofErr w:type="spellStart"/>
      <w:r>
        <w:t>Maritima</w:t>
      </w:r>
      <w:proofErr w:type="spellEnd"/>
      <w:r>
        <w:t xml:space="preserve">, the desert fortress-palaces of Masada and </w:t>
      </w:r>
      <w:proofErr w:type="spellStart"/>
      <w:r>
        <w:t>Herodium</w:t>
      </w:r>
      <w:proofErr w:type="spellEnd"/>
      <w:r>
        <w:t xml:space="preserve">, and the palace at Jericho. In 2007 Ehud </w:t>
      </w:r>
      <w:proofErr w:type="spellStart"/>
      <w:r>
        <w:t>Netzer</w:t>
      </w:r>
      <w:proofErr w:type="spellEnd"/>
      <w:r>
        <w:t xml:space="preserve"> found at </w:t>
      </w:r>
      <w:proofErr w:type="spellStart"/>
      <w:r>
        <w:t>Herodium</w:t>
      </w:r>
      <w:proofErr w:type="spellEnd"/>
      <w:r>
        <w:t xml:space="preserve"> what he identified as Herod's tomb.</w:t>
      </w:r>
    </w:p>
    <w:p w:rsidR="008E4B08" w:rsidRDefault="00C51EF0">
      <w:pPr>
        <w:pStyle w:val="ListParagraph"/>
        <w:numPr>
          <w:ilvl w:val="0"/>
          <w:numId w:val="2"/>
        </w:numPr>
        <w:spacing w:line="480" w:lineRule="auto"/>
        <w:jc w:val="both"/>
      </w:pPr>
      <w:r>
        <w:rPr>
          <w:b/>
          <w:bCs/>
        </w:rPr>
        <w:t>Masada.</w:t>
      </w:r>
      <w:r>
        <w:t xml:space="preserve"> Excavated by </w:t>
      </w:r>
      <w:proofErr w:type="spellStart"/>
      <w:r>
        <w:t>Yigael</w:t>
      </w:r>
      <w:proofErr w:type="spellEnd"/>
      <w:r>
        <w:t xml:space="preserve"> </w:t>
      </w:r>
      <w:proofErr w:type="spellStart"/>
      <w:r>
        <w:t>Yadin</w:t>
      </w:r>
      <w:proofErr w:type="spellEnd"/>
      <w:r>
        <w:t xml:space="preserve"> from 1963 to 1965, Masada was the last stronghold of the Jewish rebels against Rome, captured in AD 73 or 74. Fragments of biblical and other scrolls found there are similar to those from Qumran.</w:t>
      </w:r>
    </w:p>
    <w:p w:rsidR="008E4B08" w:rsidRDefault="00C51EF0">
      <w:pPr>
        <w:pStyle w:val="ListParagraph"/>
        <w:numPr>
          <w:ilvl w:val="0"/>
          <w:numId w:val="2"/>
        </w:numPr>
        <w:spacing w:line="480" w:lineRule="auto"/>
        <w:jc w:val="both"/>
      </w:pPr>
      <w:r>
        <w:rPr>
          <w:b/>
          <w:bCs/>
        </w:rPr>
        <w:lastRenderedPageBreak/>
        <w:t>Other manuscripts.</w:t>
      </w:r>
      <w:r>
        <w:t xml:space="preserve"> Caves in the </w:t>
      </w:r>
      <w:proofErr w:type="spellStart"/>
      <w:r>
        <w:t>Judaean</w:t>
      </w:r>
      <w:proofErr w:type="spellEnd"/>
      <w:r>
        <w:t xml:space="preserve"> desert have also produced documents from the Bar </w:t>
      </w:r>
      <w:proofErr w:type="spellStart"/>
      <w:r>
        <w:t>Kokhba</w:t>
      </w:r>
      <w:proofErr w:type="spellEnd"/>
      <w:r>
        <w:t xml:space="preserve"> revolt (AD 132–135), including letters from the rebel leader Simon bar </w:t>
      </w:r>
      <w:proofErr w:type="spellStart"/>
      <w:r>
        <w:t>Kosiba</w:t>
      </w:r>
      <w:proofErr w:type="spellEnd"/>
      <w:r>
        <w:t xml:space="preserve"> himself, and a Greek scroll of the Minor Prophets.</w:t>
      </w:r>
    </w:p>
    <w:p w:rsidR="008E4B08" w:rsidRDefault="00C51EF0">
      <w:pPr>
        <w:pStyle w:val="Heading2"/>
        <w:keepNext/>
        <w:spacing w:before="240" w:after="120" w:line="360" w:lineRule="auto"/>
      </w:pPr>
      <w:bookmarkStart w:id="138" w:name="_Toc241908499"/>
      <w:r>
        <w:t>10.9 Summary</w:t>
      </w:r>
      <w:bookmarkEnd w:id="138"/>
    </w:p>
    <w:p w:rsidR="008E4B08" w:rsidRDefault="00C51EF0">
      <w:pPr>
        <w:spacing w:line="480" w:lineRule="auto"/>
        <w:jc w:val="both"/>
      </w:pPr>
      <w:r>
        <w:t xml:space="preserve">The Dead Sea Scrolls, found between 1947 and 1956, include biblical manuscripts, other Jewish religious texts and the writings of a community most probably to be identified with the Essenes, whose </w:t>
      </w:r>
      <w:proofErr w:type="spellStart"/>
      <w:r>
        <w:t>centre</w:t>
      </w:r>
      <w:proofErr w:type="spellEnd"/>
      <w:r>
        <w:t xml:space="preserve"> was at Qumran. They are a thousand years older than the earliest complete Masoretic manuscripts and show both the careful copying of the text and its variety before the time of Christ. They shed light on Jewish hopes for the Messiah, ways of reading Scripture and community life in the time of Jesus. Other discoveries from the Greek and early Roman periods complete our picture of the world into which Christianity was born.</w:t>
      </w:r>
    </w:p>
    <w:p w:rsidR="008E4B08" w:rsidRDefault="00C51EF0">
      <w:pPr>
        <w:pStyle w:val="Heading2"/>
        <w:keepNext/>
        <w:spacing w:before="240" w:after="120" w:line="360" w:lineRule="auto"/>
      </w:pPr>
      <w:bookmarkStart w:id="139" w:name="_Toc241908500"/>
      <w:r>
        <w:t>10.10 Life Application</w:t>
      </w:r>
      <w:bookmarkEnd w:id="139"/>
    </w:p>
    <w:p w:rsidR="008E4B08" w:rsidRDefault="00C51EF0">
      <w:pPr>
        <w:spacing w:line="480" w:lineRule="auto"/>
        <w:jc w:val="both"/>
      </w:pPr>
      <w:r>
        <w:t>The Dead Sea Scrolls bear witness to God's preservation of his Word and to the hope for the Messiah in the generations before Christ.</w:t>
      </w:r>
    </w:p>
    <w:p w:rsidR="008E4B08" w:rsidRDefault="00C51EF0">
      <w:pPr>
        <w:pStyle w:val="ListParagraph"/>
        <w:numPr>
          <w:ilvl w:val="0"/>
          <w:numId w:val="2"/>
        </w:numPr>
        <w:spacing w:line="480" w:lineRule="auto"/>
        <w:jc w:val="both"/>
      </w:pPr>
      <w:r>
        <w:rPr>
          <w:b/>
          <w:bCs/>
        </w:rPr>
        <w:t>God preserves his Word.</w:t>
      </w:r>
      <w:r>
        <w:t xml:space="preserve"> A scroll of Isaiah copied a thousand years before the medieval manuscripts shows remarkable faithfulness in copying. We can trust that the Scriptures we read have been carefully preserved (Isa 40:8).</w:t>
      </w:r>
    </w:p>
    <w:p w:rsidR="008E4B08" w:rsidRDefault="00C51EF0">
      <w:pPr>
        <w:pStyle w:val="ListParagraph"/>
        <w:numPr>
          <w:ilvl w:val="0"/>
          <w:numId w:val="2"/>
        </w:numPr>
        <w:spacing w:line="480" w:lineRule="auto"/>
        <w:jc w:val="both"/>
      </w:pPr>
      <w:r>
        <w:rPr>
          <w:b/>
          <w:bCs/>
        </w:rPr>
        <w:t>Treasure the Scriptures.</w:t>
      </w:r>
      <w:r>
        <w:t xml:space="preserve"> The Qumran community copied, studied and hid their scrolls at great cost. Christians who have Bibles freely available should value them and read them daily.</w:t>
      </w:r>
    </w:p>
    <w:p w:rsidR="008E4B08" w:rsidRDefault="00C51EF0">
      <w:pPr>
        <w:pStyle w:val="ListParagraph"/>
        <w:numPr>
          <w:ilvl w:val="0"/>
          <w:numId w:val="2"/>
        </w:numPr>
        <w:spacing w:line="480" w:lineRule="auto"/>
        <w:jc w:val="both"/>
      </w:pPr>
      <w:r>
        <w:rPr>
          <w:b/>
          <w:bCs/>
        </w:rPr>
        <w:t>Zeal must be guided by grace.</w:t>
      </w:r>
      <w:r>
        <w:t xml:space="preserve"> The Qumran community was zealous for purity, but it separated itself from others and looked forward to the destruction of its enemies. Christian holiness must be expressed with love, not with spiritual pride.</w:t>
      </w:r>
    </w:p>
    <w:p w:rsidR="008E4B08" w:rsidRDefault="00C51EF0">
      <w:pPr>
        <w:pStyle w:val="ListParagraph"/>
        <w:numPr>
          <w:ilvl w:val="0"/>
          <w:numId w:val="2"/>
        </w:numPr>
        <w:spacing w:line="480" w:lineRule="auto"/>
        <w:jc w:val="both"/>
      </w:pPr>
      <w:r>
        <w:rPr>
          <w:b/>
          <w:bCs/>
        </w:rPr>
        <w:lastRenderedPageBreak/>
        <w:t>The hope is fulfilled in Christ.</w:t>
      </w:r>
      <w:r>
        <w:t xml:space="preserve"> The hope for a coming Messiah who would heal the sick and bring good news to the poor finds its answer in Jesus (Luke 7:22).</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Eternal God, thank you for preserving your Word through the centuries. Give me a deep love for the Scriptures and a disciplined habit of reading them. Keep my zeal for holiness humble and full of grace. Thank you that the hope of the ages has come in Jesus Christ. In his name. Amen.</w:t>
      </w:r>
    </w:p>
    <w:p w:rsidR="008E4B08" w:rsidRDefault="00C51EF0">
      <w:pPr>
        <w:pStyle w:val="Heading2"/>
        <w:keepNext/>
        <w:spacing w:before="240" w:after="120" w:line="360" w:lineRule="auto"/>
      </w:pPr>
      <w:bookmarkStart w:id="140" w:name="_Toc241908501"/>
      <w:r>
        <w:t>10.11 Discussion Questions</w:t>
      </w:r>
      <w:bookmarkEnd w:id="140"/>
    </w:p>
    <w:p w:rsidR="008E4B08" w:rsidRDefault="00C51EF0">
      <w:pPr>
        <w:tabs>
          <w:tab w:val="left" w:pos="720"/>
        </w:tabs>
        <w:spacing w:line="480" w:lineRule="auto"/>
        <w:ind w:left="720" w:hanging="360"/>
        <w:jc w:val="both"/>
      </w:pPr>
      <w:r>
        <w:t>1.</w:t>
      </w:r>
      <w:r>
        <w:tab/>
        <w:t>Evaluate the evidence for identifying the community of Qumran with the Essenes.</w:t>
      </w:r>
    </w:p>
    <w:p w:rsidR="008E4B08" w:rsidRDefault="00C51EF0">
      <w:pPr>
        <w:tabs>
          <w:tab w:val="left" w:pos="720"/>
        </w:tabs>
        <w:spacing w:line="480" w:lineRule="auto"/>
        <w:ind w:left="720" w:hanging="360"/>
        <w:jc w:val="both"/>
      </w:pPr>
      <w:r>
        <w:t>2.</w:t>
      </w:r>
      <w:r>
        <w:tab/>
        <w:t>What do the Dead Sea Scrolls show about how the text of the Old Testament was copied and preserved?</w:t>
      </w:r>
    </w:p>
    <w:p w:rsidR="008E4B08" w:rsidRDefault="00C51EF0">
      <w:pPr>
        <w:tabs>
          <w:tab w:val="left" w:pos="720"/>
        </w:tabs>
        <w:spacing w:line="480" w:lineRule="auto"/>
        <w:ind w:left="720" w:hanging="360"/>
        <w:jc w:val="both"/>
      </w:pPr>
      <w:r>
        <w:t>3.</w:t>
      </w:r>
      <w:r>
        <w:tab/>
        <w:t>In what ways do the scrolls help us understand the Gospels and the letters of Paul?</w:t>
      </w:r>
    </w:p>
    <w:p w:rsidR="008E4B08" w:rsidRDefault="00C51EF0">
      <w:pPr>
        <w:tabs>
          <w:tab w:val="left" w:pos="720"/>
        </w:tabs>
        <w:spacing w:line="480" w:lineRule="auto"/>
        <w:ind w:left="720" w:hanging="360"/>
        <w:jc w:val="both"/>
      </w:pPr>
      <w:r>
        <w:t>4.</w:t>
      </w:r>
      <w:r>
        <w:tab/>
        <w:t>Why have claims that the scrolls mention Jesus or the early church been rejected by scholars?</w:t>
      </w:r>
    </w:p>
    <w:p w:rsidR="008E4B08" w:rsidRDefault="00C51EF0">
      <w:pPr>
        <w:pStyle w:val="Heading2"/>
        <w:keepNext/>
        <w:spacing w:before="240" w:after="120" w:line="360" w:lineRule="auto"/>
      </w:pPr>
      <w:bookmarkStart w:id="141" w:name="_Toc241908502"/>
      <w:r>
        <w:t>10.12 Further Reading</w:t>
      </w:r>
      <w:bookmarkEnd w:id="141"/>
    </w:p>
    <w:p w:rsidR="008E4B08" w:rsidRDefault="00C51EF0">
      <w:pPr>
        <w:spacing w:after="160"/>
        <w:ind w:left="720" w:hanging="720"/>
      </w:pPr>
      <w:proofErr w:type="spellStart"/>
      <w:r>
        <w:t>Magness</w:t>
      </w:r>
      <w:proofErr w:type="spellEnd"/>
      <w:r>
        <w:t xml:space="preserve">, Jodi. </w:t>
      </w:r>
      <w:r>
        <w:rPr>
          <w:i/>
          <w:iCs/>
        </w:rPr>
        <w:t>The Archaeology of Qumran and the Dead Sea Scrolls</w:t>
      </w:r>
      <w:r>
        <w:t>. 2nd ed. Grand Rapids: Eerdmans, 2021.</w:t>
      </w:r>
    </w:p>
    <w:p w:rsidR="008E4B08" w:rsidRDefault="00C51EF0">
      <w:pPr>
        <w:spacing w:after="160"/>
        <w:ind w:left="720" w:hanging="720"/>
      </w:pPr>
      <w:r>
        <w:t xml:space="preserve">Tov, Emanuel. </w:t>
      </w:r>
      <w:r>
        <w:rPr>
          <w:i/>
          <w:iCs/>
        </w:rPr>
        <w:t>Textual Criticism of the Hebrew Bible</w:t>
      </w:r>
      <w:r>
        <w:t>. 3rd ed. Minneapolis: Fortress, 2012.</w:t>
      </w:r>
    </w:p>
    <w:p w:rsidR="008E4B08" w:rsidRDefault="00C51EF0">
      <w:pPr>
        <w:spacing w:after="160"/>
        <w:ind w:left="720" w:hanging="720"/>
      </w:pPr>
      <w:proofErr w:type="spellStart"/>
      <w:r>
        <w:t>VanderKam</w:t>
      </w:r>
      <w:proofErr w:type="spellEnd"/>
      <w:r>
        <w:t xml:space="preserve">, James C. </w:t>
      </w:r>
      <w:r>
        <w:rPr>
          <w:i/>
          <w:iCs/>
        </w:rPr>
        <w:t>The Dead Sea Scrolls Today</w:t>
      </w:r>
      <w:r>
        <w:t>. 2nd ed. Grand Rapids: Eerdmans, 2010.</w:t>
      </w:r>
    </w:p>
    <w:p w:rsidR="008E4B08" w:rsidRDefault="00C51EF0">
      <w:pPr>
        <w:spacing w:after="160"/>
        <w:ind w:left="720" w:hanging="720"/>
      </w:pPr>
      <w:proofErr w:type="spellStart"/>
      <w:r>
        <w:t>VanderKam</w:t>
      </w:r>
      <w:proofErr w:type="spellEnd"/>
      <w:r>
        <w:t xml:space="preserve">, James, and Peter Flint. </w:t>
      </w:r>
      <w:r>
        <w:rPr>
          <w:i/>
          <w:iCs/>
        </w:rPr>
        <w:t>The Meaning of the Dead Sea Scrolls</w:t>
      </w:r>
      <w:r>
        <w:t xml:space="preserve">. San Francisco: </w:t>
      </w:r>
      <w:proofErr w:type="spellStart"/>
      <w:r>
        <w:t>HarperSanFrancisco</w:t>
      </w:r>
      <w:proofErr w:type="spellEnd"/>
      <w:r>
        <w:t>, 2002.</w:t>
      </w:r>
    </w:p>
    <w:p w:rsidR="008E4B08" w:rsidRDefault="00C51EF0">
      <w:pPr>
        <w:pStyle w:val="Heading1"/>
        <w:pageBreakBefore/>
        <w:spacing w:after="360" w:line="360" w:lineRule="auto"/>
        <w:jc w:val="center"/>
      </w:pPr>
      <w:bookmarkStart w:id="142" w:name="_Toc241908503"/>
      <w:r>
        <w:lastRenderedPageBreak/>
        <w:t>UNIT ELEVEN: ARCHAEOLOGY AND THE GOSPELS</w:t>
      </w:r>
      <w:bookmarkEnd w:id="142"/>
    </w:p>
    <w:p w:rsidR="008E4B08" w:rsidRDefault="00C51EF0">
      <w:pPr>
        <w:pStyle w:val="Heading2"/>
        <w:keepNext/>
        <w:spacing w:before="240" w:after="120" w:line="360" w:lineRule="auto"/>
      </w:pPr>
      <w:bookmarkStart w:id="143" w:name="_Toc241908504"/>
      <w:r>
        <w:t>11.1 Introduction</w:t>
      </w:r>
      <w:bookmarkEnd w:id="143"/>
    </w:p>
    <w:p w:rsidR="008E4B08" w:rsidRDefault="00C51EF0">
      <w:pPr>
        <w:spacing w:line="480" w:lineRule="auto"/>
        <w:jc w:val="both"/>
      </w:pPr>
      <w:r>
        <w:t>The Gospels place the life of Jesus in a real and detailed world: the villages and lakeside towns of Galilee, Jerusalem and Herod's temple, the rule of Roman governors and the customs of Jewish religious life. Archaeology has shed light on this world in remarkable detail. It cannot prove the miracles or the resurrection, but it has shown that the Gospel writers knew the places, people and customs of first-century Palestine. This unit surveys the archaeology of Galilee and Jerusalem and the discoveries that relate directly to the Gospel accounts.</w:t>
      </w:r>
    </w:p>
    <w:p w:rsidR="008E4B08" w:rsidRDefault="00C51EF0">
      <w:pPr>
        <w:pStyle w:val="Heading2"/>
        <w:keepNext/>
        <w:spacing w:before="240" w:after="120" w:line="360" w:lineRule="auto"/>
      </w:pPr>
      <w:bookmarkStart w:id="144" w:name="_Toc241908505"/>
      <w:r>
        <w:t>11.2 Learning Objectives</w:t>
      </w:r>
      <w:bookmarkEnd w:id="144"/>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describe the archaeology of Galilee in the first century and its importance for the ministry of Jesus;</w:t>
      </w:r>
    </w:p>
    <w:p w:rsidR="008E4B08" w:rsidRDefault="00C51EF0">
      <w:pPr>
        <w:pStyle w:val="ListParagraph"/>
        <w:numPr>
          <w:ilvl w:val="0"/>
          <w:numId w:val="2"/>
        </w:numPr>
        <w:spacing w:line="480" w:lineRule="auto"/>
        <w:jc w:val="both"/>
      </w:pPr>
      <w:r>
        <w:t>name discoveries related to people mentioned in the accounts of Jesus' trial and death;</w:t>
      </w:r>
    </w:p>
    <w:p w:rsidR="008E4B08" w:rsidRDefault="00C51EF0">
      <w:pPr>
        <w:pStyle w:val="ListParagraph"/>
        <w:numPr>
          <w:ilvl w:val="0"/>
          <w:numId w:val="2"/>
        </w:numPr>
        <w:spacing w:line="480" w:lineRule="auto"/>
        <w:jc w:val="both"/>
      </w:pPr>
      <w:r>
        <w:t>evaluate the evidence for places in Jerusalem connected with Jesus; and</w:t>
      </w:r>
    </w:p>
    <w:p w:rsidR="008E4B08" w:rsidRDefault="00C51EF0">
      <w:pPr>
        <w:pStyle w:val="ListParagraph"/>
        <w:numPr>
          <w:ilvl w:val="0"/>
          <w:numId w:val="2"/>
        </w:numPr>
        <w:spacing w:line="480" w:lineRule="auto"/>
        <w:jc w:val="both"/>
      </w:pPr>
      <w:proofErr w:type="gramStart"/>
      <w:r>
        <w:t>explain</w:t>
      </w:r>
      <w:proofErr w:type="gramEnd"/>
      <w:r>
        <w:t xml:space="preserve"> the evidence about crucifixion and Jewish burial customs.</w:t>
      </w:r>
    </w:p>
    <w:p w:rsidR="008E4B08" w:rsidRDefault="00C51EF0">
      <w:pPr>
        <w:pStyle w:val="Heading2"/>
        <w:keepNext/>
        <w:spacing w:before="240" w:after="120" w:line="360" w:lineRule="auto"/>
      </w:pPr>
      <w:bookmarkStart w:id="145" w:name="_Toc241908506"/>
      <w:r>
        <w:t>11.3 Jesus and Archaeology</w:t>
      </w:r>
      <w:bookmarkEnd w:id="145"/>
    </w:p>
    <w:p w:rsidR="008E4B08" w:rsidRDefault="00C51EF0">
      <w:pPr>
        <w:spacing w:line="480" w:lineRule="auto"/>
        <w:jc w:val="both"/>
      </w:pPr>
      <w:r>
        <w:t xml:space="preserve">Since the 1980s, scholars studying the historical Jesus have paid close attention to his Jewish setting, and archaeology has played a growing role. Scholars such as Jonathan Reed, Sean </w:t>
      </w:r>
      <w:proofErr w:type="spellStart"/>
      <w:r>
        <w:t>Freyne</w:t>
      </w:r>
      <w:proofErr w:type="spellEnd"/>
      <w:r>
        <w:t xml:space="preserve">, Mordechai </w:t>
      </w:r>
      <w:proofErr w:type="spellStart"/>
      <w:r>
        <w:t>Aviam</w:t>
      </w:r>
      <w:proofErr w:type="spellEnd"/>
      <w:r>
        <w:t xml:space="preserve"> and James </w:t>
      </w:r>
      <w:proofErr w:type="spellStart"/>
      <w:r>
        <w:t>Charlesworth</w:t>
      </w:r>
      <w:proofErr w:type="spellEnd"/>
      <w:r>
        <w:t xml:space="preserve"> have used archaeological evidence to describe the economic, social and religious conditions of Galilee.</w:t>
      </w:r>
      <w:r>
        <w:rPr>
          <w:vertAlign w:val="superscript"/>
        </w:rPr>
        <w:t>78</w:t>
      </w:r>
      <w:r>
        <w:t xml:space="preserve"> Archaeology cannot provide direct evidence of a travelling teacher who left no buildings or inscriptions. Its contribution is to reconstruct the setting of his life and ministry.</w:t>
      </w:r>
    </w:p>
    <w:p w:rsidR="008E4B08" w:rsidRDefault="00C51EF0">
      <w:pPr>
        <w:pStyle w:val="Heading2"/>
        <w:keepNext/>
        <w:spacing w:before="240" w:after="120" w:line="360" w:lineRule="auto"/>
      </w:pPr>
      <w:bookmarkStart w:id="146" w:name="_Toc241908507"/>
      <w:r>
        <w:lastRenderedPageBreak/>
        <w:t>11.4 Galilee in the Time of Jesus</w:t>
      </w:r>
      <w:bookmarkEnd w:id="146"/>
    </w:p>
    <w:p w:rsidR="008E4B08" w:rsidRDefault="00C51EF0">
      <w:pPr>
        <w:pStyle w:val="Heading3"/>
        <w:keepNext/>
        <w:spacing w:before="120" w:after="60" w:line="360" w:lineRule="auto"/>
      </w:pPr>
      <w:r>
        <w:t>11.4.1 A Jewish Galilee</w:t>
      </w:r>
    </w:p>
    <w:p w:rsidR="008E4B08" w:rsidRDefault="00C51EF0">
      <w:pPr>
        <w:spacing w:line="480" w:lineRule="auto"/>
        <w:jc w:val="both"/>
      </w:pPr>
      <w:r>
        <w:t>Some earlier scholars argued that Galilee was largely Gentile or strongly influenced by Greek culture, and that Jesus may have been influenced by Greek wandering philosophers. Archaeology has shown otherwise. In Galilean villages, excavators have found stone vessels (which Jews believed could not become ritually unclean), ritual baths, bone boxes (ossuaries) used in Jewish burial and an absence of pig bones. These are all signs of Jewish religious practice. Jonathan Reed concludes that the population of Galilee in the time of Jesus was mainly Jewish, with close links to Judaea and Jerusalem.</w:t>
      </w:r>
      <w:r>
        <w:rPr>
          <w:vertAlign w:val="superscript"/>
        </w:rPr>
        <w:t>79</w:t>
      </w:r>
    </w:p>
    <w:p w:rsidR="008E4B08" w:rsidRDefault="00C51EF0">
      <w:pPr>
        <w:spacing w:line="480" w:lineRule="auto"/>
        <w:ind w:firstLine="720"/>
        <w:jc w:val="both"/>
      </w:pPr>
      <w:r>
        <w:rPr>
          <w:b/>
          <w:bCs/>
        </w:rPr>
        <w:t>Example.</w:t>
      </w:r>
      <w:r>
        <w:t xml:space="preserve"> If archaeologists in the future excavated a Nigerian town and found many prayer mats, ablution kettles and the remains of mosques, but no pork bones, they would rightly conclude that the town was largely Muslim. In the same way, the stone vessels, ritual baths and lack of pork in Galilean villages show that the people among whom Jesus lived were faithful Jews.</w:t>
      </w:r>
    </w:p>
    <w:p w:rsidR="008E4B08" w:rsidRDefault="00C51EF0">
      <w:pPr>
        <w:pStyle w:val="Heading3"/>
        <w:keepNext/>
        <w:spacing w:before="120" w:after="60" w:line="360" w:lineRule="auto"/>
      </w:pPr>
      <w:r>
        <w:t xml:space="preserve">11.4.2 </w:t>
      </w:r>
      <w:proofErr w:type="spellStart"/>
      <w:r>
        <w:t>Sepphoris</w:t>
      </w:r>
      <w:proofErr w:type="spellEnd"/>
      <w:r>
        <w:t xml:space="preserve"> and </w:t>
      </w:r>
      <w:proofErr w:type="spellStart"/>
      <w:r>
        <w:t>Tiberias</w:t>
      </w:r>
      <w:proofErr w:type="spellEnd"/>
    </w:p>
    <w:p w:rsidR="008E4B08" w:rsidRDefault="00C51EF0">
      <w:pPr>
        <w:spacing w:line="480" w:lineRule="auto"/>
        <w:jc w:val="both"/>
      </w:pPr>
      <w:r>
        <w:t xml:space="preserve">Herod Antipas, the ruler of Galilee during Jesus' ministry, rebuilt </w:t>
      </w:r>
      <w:proofErr w:type="spellStart"/>
      <w:r>
        <w:t>Sepphoris</w:t>
      </w:r>
      <w:proofErr w:type="spellEnd"/>
      <w:r>
        <w:t xml:space="preserve"> as his capital and later founded </w:t>
      </w:r>
      <w:proofErr w:type="spellStart"/>
      <w:r>
        <w:t>Tiberias</w:t>
      </w:r>
      <w:proofErr w:type="spellEnd"/>
      <w:r>
        <w:t xml:space="preserve"> on the Sea of Galilee. </w:t>
      </w:r>
      <w:proofErr w:type="spellStart"/>
      <w:r>
        <w:t>Sepphoris</w:t>
      </w:r>
      <w:proofErr w:type="spellEnd"/>
      <w:r>
        <w:t xml:space="preserve"> was only about six </w:t>
      </w:r>
      <w:proofErr w:type="spellStart"/>
      <w:r>
        <w:t>kilometres</w:t>
      </w:r>
      <w:proofErr w:type="spellEnd"/>
      <w:r>
        <w:t xml:space="preserve"> from Nazareth. Excavations show a Roman-style city with paved streets, fine houses and a theatre, though the date of the theatre is debated. Some scholars suggest that Joseph and Jesus, as builders, may have worked there, but the Gospels never mention </w:t>
      </w:r>
      <w:proofErr w:type="spellStart"/>
      <w:r>
        <w:t>Sepphoris</w:t>
      </w:r>
      <w:proofErr w:type="spellEnd"/>
      <w:r>
        <w:t xml:space="preserve"> or </w:t>
      </w:r>
      <w:proofErr w:type="spellStart"/>
      <w:r>
        <w:t>Tiberias</w:t>
      </w:r>
      <w:proofErr w:type="spellEnd"/>
      <w:r>
        <w:t xml:space="preserve"> as places where Jesus ministered. This silence may mean that Jesus chose to avoid Antipas's cities and concentrated on the villages.</w:t>
      </w:r>
    </w:p>
    <w:p w:rsidR="008E4B08" w:rsidRDefault="00C51EF0">
      <w:pPr>
        <w:pStyle w:val="Heading3"/>
        <w:keepNext/>
        <w:spacing w:before="120" w:after="60" w:line="360" w:lineRule="auto"/>
      </w:pPr>
      <w:r>
        <w:t>11.4.3 Nazareth</w:t>
      </w:r>
    </w:p>
    <w:p w:rsidR="008E4B08" w:rsidRDefault="00C51EF0">
      <w:pPr>
        <w:spacing w:line="480" w:lineRule="auto"/>
        <w:jc w:val="both"/>
      </w:pPr>
      <w:r>
        <w:t xml:space="preserve">Nazareth was a small and unimportant village, which explains Nathanael's question, "Can anything good come out of Nazareth?" (John 1:46). Excavations beneath and around the </w:t>
      </w:r>
      <w:r>
        <w:lastRenderedPageBreak/>
        <w:t xml:space="preserve">Church of the Annunciation have revealed farming installations, water cisterns, tombs and simple houses. In 2009 a modest first-century house was excavated near the church, and Ken Dark has argued that a house under the Sisters of Nazareth convent may have been </w:t>
      </w:r>
      <w:proofErr w:type="spellStart"/>
      <w:r>
        <w:t>honoured</w:t>
      </w:r>
      <w:proofErr w:type="spellEnd"/>
      <w:r>
        <w:t xml:space="preserve"> by early Christians as the home of Jesus.</w:t>
      </w:r>
      <w:r>
        <w:rPr>
          <w:vertAlign w:val="superscript"/>
        </w:rPr>
        <w:t>80</w:t>
      </w:r>
    </w:p>
    <w:p w:rsidR="008E4B08" w:rsidRDefault="00C51EF0">
      <w:pPr>
        <w:spacing w:line="480" w:lineRule="auto"/>
        <w:ind w:firstLine="720"/>
        <w:jc w:val="both"/>
      </w:pPr>
      <w:r>
        <w:rPr>
          <w:b/>
          <w:bCs/>
        </w:rPr>
        <w:t>Example.</w:t>
      </w:r>
      <w:r>
        <w:t xml:space="preserve"> The Son of God grew up in a village so small that few outside the region had heard of it. This should encourage Christians from small towns and villages across Africa. God's purposes do not depend on coming from a famous city.</w:t>
      </w:r>
    </w:p>
    <w:p w:rsidR="008E4B08" w:rsidRDefault="00C51EF0">
      <w:pPr>
        <w:pStyle w:val="Heading3"/>
        <w:keepNext/>
        <w:spacing w:before="120" w:after="60" w:line="360" w:lineRule="auto"/>
      </w:pPr>
      <w:r>
        <w:t>11.4.4 Capernaum</w:t>
      </w:r>
    </w:p>
    <w:p w:rsidR="008E4B08" w:rsidRDefault="00C51EF0">
      <w:pPr>
        <w:spacing w:line="480" w:lineRule="auto"/>
        <w:jc w:val="both"/>
      </w:pPr>
      <w:r>
        <w:t xml:space="preserve">Capernaum, on the northern shore of the Sea of Galilee, was the </w:t>
      </w:r>
      <w:proofErr w:type="spellStart"/>
      <w:r>
        <w:t>centre</w:t>
      </w:r>
      <w:proofErr w:type="spellEnd"/>
      <w:r>
        <w:t xml:space="preserve"> of Jesus' ministry in Galilee (Matt 4:13; Mark 2:1). Franciscan excavators uncovered a white limestone synagogue from the fourth or fifth century AD, built on the black basalt foundations of an earlier building. Some identify this earlier building with the first-century synagogue mentioned in Mark 1:21 and Luke 7:5. Nearby, under an eight-sided Byzantine church, lies a house that was turned into a place of Christian worship in the first or second century, with writings on its walls calling on Jesus. Many scholars accept that this house was </w:t>
      </w:r>
      <w:proofErr w:type="spellStart"/>
      <w:r>
        <w:t>honoured</w:t>
      </w:r>
      <w:proofErr w:type="spellEnd"/>
      <w:r>
        <w:t xml:space="preserve"> as the house of Peter (Mark 1:29).</w:t>
      </w:r>
      <w:r>
        <w:rPr>
          <w:vertAlign w:val="superscript"/>
        </w:rPr>
        <w:t>81</w:t>
      </w:r>
    </w:p>
    <w:p w:rsidR="008E4B08" w:rsidRDefault="00C51EF0">
      <w:pPr>
        <w:pStyle w:val="Heading3"/>
        <w:keepNext/>
        <w:spacing w:before="120" w:after="60" w:line="360" w:lineRule="auto"/>
      </w:pPr>
      <w:r>
        <w:t xml:space="preserve">11.4.5 </w:t>
      </w:r>
      <w:proofErr w:type="spellStart"/>
      <w:r>
        <w:t>Magdala</w:t>
      </w:r>
      <w:proofErr w:type="spellEnd"/>
      <w:r>
        <w:t xml:space="preserve"> and Its Synagogue</w:t>
      </w:r>
    </w:p>
    <w:p w:rsidR="008E4B08" w:rsidRDefault="00C51EF0">
      <w:pPr>
        <w:spacing w:line="480" w:lineRule="auto"/>
        <w:jc w:val="both"/>
      </w:pPr>
      <w:r>
        <w:t xml:space="preserve">In 2009, excavations at </w:t>
      </w:r>
      <w:proofErr w:type="spellStart"/>
      <w:r>
        <w:t>Magdala</w:t>
      </w:r>
      <w:proofErr w:type="spellEnd"/>
      <w:r>
        <w:t xml:space="preserve">, the home of Mary Magdalene, uncovered a synagogue from the first century AD, one of the few known from before AD 70. In the </w:t>
      </w:r>
      <w:proofErr w:type="spellStart"/>
      <w:r>
        <w:t>centre</w:t>
      </w:r>
      <w:proofErr w:type="spellEnd"/>
      <w:r>
        <w:t xml:space="preserve"> stood a stone block carved with a seven-branched lampstand (menorah) and other symbols of the Jerusalem temple. The synagogue shows that Galilean Jews met for the reading of Scripture in buildings like this, just as the Gospels describe Jesus "teaching in their synagogues" (Matt 4:23).</w:t>
      </w:r>
      <w:r>
        <w:rPr>
          <w:vertAlign w:val="superscript"/>
        </w:rPr>
        <w:t>82</w:t>
      </w:r>
    </w:p>
    <w:p w:rsidR="008E4B08" w:rsidRDefault="00C51EF0">
      <w:pPr>
        <w:pStyle w:val="Heading3"/>
        <w:keepNext/>
        <w:spacing w:before="120" w:after="60" w:line="360" w:lineRule="auto"/>
      </w:pPr>
      <w:r>
        <w:t>11.4.6 The Galilee Boat</w:t>
      </w:r>
    </w:p>
    <w:p w:rsidR="008E4B08" w:rsidRDefault="00C51EF0">
      <w:pPr>
        <w:spacing w:line="480" w:lineRule="auto"/>
        <w:jc w:val="both"/>
      </w:pPr>
      <w:r>
        <w:t xml:space="preserve">In 1986, during a drought that lowered the level of the Sea of Galilee, two brothers found the remains of a wooden boat in the mud. It was carefully excavated and preserved. The boat is about 8.2 </w:t>
      </w:r>
      <w:proofErr w:type="spellStart"/>
      <w:r>
        <w:t>metres</w:t>
      </w:r>
      <w:proofErr w:type="spellEnd"/>
      <w:r>
        <w:t xml:space="preserve"> long and 2.3 </w:t>
      </w:r>
      <w:proofErr w:type="spellStart"/>
      <w:r>
        <w:t>metres</w:t>
      </w:r>
      <w:proofErr w:type="spellEnd"/>
      <w:r>
        <w:t xml:space="preserve"> wide and dates from between the first century BC and the </w:t>
      </w:r>
      <w:r>
        <w:lastRenderedPageBreak/>
        <w:t>first century AD. It could carry about fifteen people, and it shows the kind of boat in which Jesus and his disciples crossed the lake (Mark 4:35–41).</w:t>
      </w:r>
      <w:r>
        <w:rPr>
          <w:vertAlign w:val="superscript"/>
        </w:rPr>
        <w:t>83</w:t>
      </w:r>
    </w:p>
    <w:p w:rsidR="008E4B08" w:rsidRDefault="00C51EF0">
      <w:pPr>
        <w:spacing w:line="480" w:lineRule="auto"/>
        <w:ind w:firstLine="720"/>
        <w:jc w:val="both"/>
      </w:pPr>
      <w:r>
        <w:rPr>
          <w:b/>
          <w:bCs/>
        </w:rPr>
        <w:t>Example.</w:t>
      </w:r>
      <w:r>
        <w:t xml:space="preserve"> The Galilee boat is similar in size to the wooden canoes used by fishermen in the creeks of the Niger Delta. A sudden storm on open water in such a boat is terrifying. Seeing the boat helps </w:t>
      </w:r>
      <w:proofErr w:type="gramStart"/>
      <w:r>
        <w:t>us</w:t>
      </w:r>
      <w:proofErr w:type="gramEnd"/>
      <w:r>
        <w:t xml:space="preserve"> understand the fear of the disciples and the power of Jesus' words, "Peace! Be still!" (Mark 4:39).</w:t>
      </w:r>
    </w:p>
    <w:p w:rsidR="008E4B08" w:rsidRDefault="00C51EF0">
      <w:pPr>
        <w:pStyle w:val="Heading2"/>
        <w:keepNext/>
        <w:spacing w:before="240" w:after="120" w:line="360" w:lineRule="auto"/>
      </w:pPr>
      <w:bookmarkStart w:id="147" w:name="_Toc241908508"/>
      <w:r>
        <w:t>11.5 Jerusalem in the Time of Jesus</w:t>
      </w:r>
      <w:bookmarkEnd w:id="147"/>
    </w:p>
    <w:p w:rsidR="008E4B08" w:rsidRDefault="00C51EF0">
      <w:pPr>
        <w:pStyle w:val="Heading3"/>
        <w:keepNext/>
        <w:spacing w:before="120" w:after="60" w:line="360" w:lineRule="auto"/>
      </w:pPr>
      <w:r>
        <w:t>11.5.1 Herod's Temple</w:t>
      </w:r>
    </w:p>
    <w:p w:rsidR="008E4B08" w:rsidRDefault="00C51EF0">
      <w:pPr>
        <w:spacing w:line="480" w:lineRule="auto"/>
        <w:jc w:val="both"/>
      </w:pPr>
      <w:r>
        <w:t>Herod the Great began rebuilding the temple in Jerusalem in about 20/19 BC (compare John 2:20). He doubled the size of the Temple Mount by building huge supporting walls, part of which survives as the Western Wall. Excavations around the southern and western walls since 1968 have uncovered the grand staircase leading to the southern gates, a paved street, shops and the remains of a bridge-like arch. A Greek inscription found in 1871, from the barrier around the inner courts, warns that any foreigner who passes beyond it will be responsible for his own death. This helps us understand Paul's reference to the "dividing wall of hostility" between Jew and Gentile (</w:t>
      </w:r>
      <w:proofErr w:type="spellStart"/>
      <w:r>
        <w:t>Eph</w:t>
      </w:r>
      <w:proofErr w:type="spellEnd"/>
      <w:r>
        <w:t xml:space="preserve"> 2:14) and the accusation against Paul in Acts 21:28–29.</w:t>
      </w:r>
    </w:p>
    <w:p w:rsidR="008E4B08" w:rsidRDefault="00C51EF0">
      <w:pPr>
        <w:pStyle w:val="Heading3"/>
        <w:keepNext/>
        <w:spacing w:before="120" w:after="60" w:line="360" w:lineRule="auto"/>
      </w:pPr>
      <w:r>
        <w:t>11.5.2 The Pools of Bethesda and Siloam</w:t>
      </w:r>
    </w:p>
    <w:p w:rsidR="008E4B08" w:rsidRDefault="00C51EF0">
      <w:pPr>
        <w:spacing w:line="480" w:lineRule="auto"/>
        <w:jc w:val="both"/>
      </w:pPr>
      <w:r>
        <w:t>John's Gospel describes the healing of a lame man at the Pool of Bethesda, "which has five roofed colonnades" (John 5:2). Earlier critics doubted that such a pool existed. Excavations near the Church of St Anne in Jerusalem revealed two large pools separated by a central wall. This allowed for four colonnades around the sides and a fifth across the middle.</w:t>
      </w:r>
      <w:r>
        <w:rPr>
          <w:vertAlign w:val="superscript"/>
        </w:rPr>
        <w:t>84</w:t>
      </w:r>
    </w:p>
    <w:p w:rsidR="008E4B08" w:rsidRDefault="00C51EF0">
      <w:pPr>
        <w:spacing w:line="480" w:lineRule="auto"/>
        <w:ind w:firstLine="720"/>
        <w:jc w:val="both"/>
      </w:pPr>
      <w:r>
        <w:t xml:space="preserve">In 2004 workers repairing a sewer pipe in the City of David uncovered the steps of a large pool from the time of Jesus, now identified as the Pool of Siloam where Jesus sent the man born blind to wash (John 9:7). Coins found in the plaster date its construction to the first </w:t>
      </w:r>
      <w:r>
        <w:lastRenderedPageBreak/>
        <w:t>century BC. These discoveries strengthen the view that John's Gospel contains accurate knowledge of Jerusalem before its destruction in AD 70.</w:t>
      </w:r>
    </w:p>
    <w:p w:rsidR="008E4B08" w:rsidRDefault="00C51EF0">
      <w:pPr>
        <w:pStyle w:val="Heading3"/>
        <w:keepNext/>
        <w:spacing w:before="120" w:after="60" w:line="360" w:lineRule="auto"/>
      </w:pPr>
      <w:r>
        <w:t>11.5.3 The Houses of the Wealthy</w:t>
      </w:r>
    </w:p>
    <w:p w:rsidR="008E4B08" w:rsidRDefault="00C51EF0">
      <w:pPr>
        <w:spacing w:line="480" w:lineRule="auto"/>
        <w:jc w:val="both"/>
      </w:pPr>
      <w:r>
        <w:t xml:space="preserve">In the Jewish Quarter, </w:t>
      </w:r>
      <w:proofErr w:type="spellStart"/>
      <w:r>
        <w:t>Nahman</w:t>
      </w:r>
      <w:proofErr w:type="spellEnd"/>
      <w:r>
        <w:t xml:space="preserve"> </w:t>
      </w:r>
      <w:proofErr w:type="spellStart"/>
      <w:r>
        <w:t>Avigad</w:t>
      </w:r>
      <w:proofErr w:type="spellEnd"/>
      <w:r>
        <w:t xml:space="preserve"> excavated large houses of wealthy, probably priestly, families of the first century, destroyed in AD 70. The "Burnt House" contained a stone weight inscribed with the name of a priestly family, Bar </w:t>
      </w:r>
      <w:proofErr w:type="spellStart"/>
      <w:r>
        <w:t>Kathros</w:t>
      </w:r>
      <w:proofErr w:type="spellEnd"/>
      <w:r>
        <w:t>. Other houses had mosaic floors, painted walls, stone tables and many ritual baths, showing the wealth and the concern for purity of Jerusalem's leading families.</w:t>
      </w:r>
    </w:p>
    <w:p w:rsidR="008E4B08" w:rsidRDefault="00C51EF0">
      <w:pPr>
        <w:pStyle w:val="Heading2"/>
        <w:keepNext/>
        <w:spacing w:before="240" w:after="120" w:line="360" w:lineRule="auto"/>
      </w:pPr>
      <w:bookmarkStart w:id="148" w:name="_Toc241908509"/>
      <w:r>
        <w:t>11.6 People in the Accounts of Jesus' Death</w:t>
      </w:r>
      <w:bookmarkEnd w:id="148"/>
    </w:p>
    <w:p w:rsidR="008E4B08" w:rsidRDefault="00C51EF0">
      <w:pPr>
        <w:pStyle w:val="Heading3"/>
        <w:keepNext/>
        <w:spacing w:before="120" w:after="60" w:line="360" w:lineRule="auto"/>
      </w:pPr>
      <w:r>
        <w:t>11.6.1 Pontius Pilate</w:t>
      </w:r>
    </w:p>
    <w:p w:rsidR="008E4B08" w:rsidRDefault="00C51EF0">
      <w:pPr>
        <w:spacing w:line="480" w:lineRule="auto"/>
        <w:jc w:val="both"/>
      </w:pPr>
      <w:r>
        <w:t xml:space="preserve">In 1961 Italian archaeologists at Caesarea </w:t>
      </w:r>
      <w:proofErr w:type="spellStart"/>
      <w:r>
        <w:t>Maritima</w:t>
      </w:r>
      <w:proofErr w:type="spellEnd"/>
      <w:r>
        <w:t xml:space="preserve"> found a stone reused in the theatre. It bore a Latin inscription naming "Pontius Pilate, Prefect of Judaea" and referring to a building dedicated to the emperor Tiberius. It is the only inscription from his own time naming Pilate, and it confirms his title as prefect.</w:t>
      </w:r>
      <w:r>
        <w:rPr>
          <w:vertAlign w:val="superscript"/>
        </w:rPr>
        <w:t>85</w:t>
      </w:r>
      <w:r>
        <w:t xml:space="preserve"> </w:t>
      </w:r>
      <w:proofErr w:type="gramStart"/>
      <w:r>
        <w:t>In</w:t>
      </w:r>
      <w:proofErr w:type="gramEnd"/>
      <w:r>
        <w:t xml:space="preserve"> 2018 a copper ring from </w:t>
      </w:r>
      <w:proofErr w:type="spellStart"/>
      <w:r>
        <w:t>Herodium</w:t>
      </w:r>
      <w:proofErr w:type="spellEnd"/>
      <w:r>
        <w:t xml:space="preserve"> bearing the name "Pilatus" was also published, though it may have belonged to an official in Pilate's administration.</w:t>
      </w:r>
    </w:p>
    <w:p w:rsidR="008E4B08" w:rsidRDefault="00C51EF0">
      <w:pPr>
        <w:pStyle w:val="Heading3"/>
        <w:keepNext/>
        <w:spacing w:before="120" w:after="60" w:line="360" w:lineRule="auto"/>
      </w:pPr>
      <w:r>
        <w:t>11.6.2 Caiaphas</w:t>
      </w:r>
    </w:p>
    <w:p w:rsidR="008E4B08" w:rsidRDefault="00C51EF0">
      <w:pPr>
        <w:spacing w:line="480" w:lineRule="auto"/>
        <w:jc w:val="both"/>
      </w:pPr>
      <w:r>
        <w:t>In 1990 workers building a park in southern Jerusalem accidentally opened a burial cave containing twelve bone boxes. One finely decorated box was inscribed "Joseph son of Caiaphas" and contained the bones of a man about sixty years old. Many scholars identify him with the high priest Caiaphas who presided at the trial of Jesus (Matt 26:57; John 18:13–24), whom Josephus calls "Joseph who was called Caiaphas".</w:t>
      </w:r>
      <w:r>
        <w:rPr>
          <w:vertAlign w:val="superscript"/>
        </w:rPr>
        <w:t>86</w:t>
      </w:r>
      <w:r>
        <w:t xml:space="preserve"> </w:t>
      </w:r>
      <w:proofErr w:type="gramStart"/>
      <w:r>
        <w:t>The</w:t>
      </w:r>
      <w:proofErr w:type="gramEnd"/>
      <w:r>
        <w:t xml:space="preserve"> identification is widely, though not universally, accepted.</w:t>
      </w:r>
    </w:p>
    <w:p w:rsidR="008E4B08" w:rsidRDefault="00C51EF0">
      <w:pPr>
        <w:pStyle w:val="Heading2"/>
        <w:keepNext/>
        <w:spacing w:before="240" w:after="120" w:line="360" w:lineRule="auto"/>
      </w:pPr>
      <w:bookmarkStart w:id="149" w:name="_Toc241908510"/>
      <w:r>
        <w:lastRenderedPageBreak/>
        <w:t>11.7 Crucifixion and Burial</w:t>
      </w:r>
      <w:bookmarkEnd w:id="149"/>
    </w:p>
    <w:p w:rsidR="008E4B08" w:rsidRDefault="00C51EF0">
      <w:pPr>
        <w:pStyle w:val="Heading3"/>
        <w:keepNext/>
        <w:spacing w:before="120" w:after="60" w:line="360" w:lineRule="auto"/>
      </w:pPr>
      <w:r>
        <w:t xml:space="preserve">11.7.1 The Crucified Man from </w:t>
      </w:r>
      <w:proofErr w:type="spellStart"/>
      <w:r>
        <w:t>Giv'at</w:t>
      </w:r>
      <w:proofErr w:type="spellEnd"/>
      <w:r>
        <w:t xml:space="preserve"> ha-</w:t>
      </w:r>
      <w:proofErr w:type="spellStart"/>
      <w:r>
        <w:t>Mivtar</w:t>
      </w:r>
      <w:proofErr w:type="spellEnd"/>
    </w:p>
    <w:p w:rsidR="008E4B08" w:rsidRDefault="00C51EF0">
      <w:pPr>
        <w:spacing w:line="480" w:lineRule="auto"/>
        <w:jc w:val="both"/>
      </w:pPr>
      <w:r>
        <w:t xml:space="preserve">In 1968 a burial cave in north Jerusalem produced the bone box of a man named </w:t>
      </w:r>
      <w:proofErr w:type="spellStart"/>
      <w:r>
        <w:t>Yehohanan</w:t>
      </w:r>
      <w:proofErr w:type="spellEnd"/>
      <w:r>
        <w:t xml:space="preserve">, who had been crucified in the first century AD. His right heel bone was still pierced by an iron nail about eleven and a half </w:t>
      </w:r>
      <w:proofErr w:type="spellStart"/>
      <w:r>
        <w:t>centimetres</w:t>
      </w:r>
      <w:proofErr w:type="spellEnd"/>
      <w:r>
        <w:t xml:space="preserve"> long, with pieces of olive wood attached. The nail had bent when it hit a knot in the wood, so it could not be pulled out. This is the only skeleton of a crucified person yet found in the region. It shows that the feet of crucified victims could be nailed to the cross, and also that a crucified man could be properly buried in a family tomb, as the Gospels say of Jesus (Mark 15:42–46).</w:t>
      </w:r>
      <w:r>
        <w:rPr>
          <w:vertAlign w:val="superscript"/>
        </w:rPr>
        <w:t>87</w:t>
      </w:r>
    </w:p>
    <w:p w:rsidR="008E4B08" w:rsidRDefault="00C51EF0">
      <w:pPr>
        <w:pStyle w:val="Heading3"/>
        <w:keepNext/>
        <w:spacing w:before="120" w:after="60" w:line="360" w:lineRule="auto"/>
      </w:pPr>
      <w:r>
        <w:t>11.7.2 Jewish Tombs</w:t>
      </w:r>
    </w:p>
    <w:p w:rsidR="008E4B08" w:rsidRDefault="00C51EF0">
      <w:pPr>
        <w:spacing w:line="480" w:lineRule="auto"/>
        <w:jc w:val="both"/>
      </w:pPr>
      <w:r>
        <w:t>Hundreds of rock-cut tombs from the first century surround Jerusalem. Usually they had a central room with niches or benches for the dead, and the entrance was closed with a stone. Some wealthy tombs were closed with large round stones that rolled in a groove, as the Gospels describe (Mark 16:3–4), though square blocking stones were more common. After the body had decayed, the bones were often collected into a bone box.</w:t>
      </w:r>
    </w:p>
    <w:p w:rsidR="008E4B08" w:rsidRDefault="00C51EF0">
      <w:pPr>
        <w:pStyle w:val="Heading3"/>
        <w:keepNext/>
        <w:spacing w:before="120" w:after="60" w:line="360" w:lineRule="auto"/>
      </w:pPr>
      <w:r>
        <w:t xml:space="preserve">11.7.3 The Church of the Holy </w:t>
      </w:r>
      <w:proofErr w:type="spellStart"/>
      <w:r>
        <w:t>Sepulchre</w:t>
      </w:r>
      <w:proofErr w:type="spellEnd"/>
    </w:p>
    <w:p w:rsidR="008E4B08" w:rsidRDefault="00C51EF0">
      <w:pPr>
        <w:spacing w:line="480" w:lineRule="auto"/>
        <w:jc w:val="both"/>
      </w:pPr>
      <w:r>
        <w:t xml:space="preserve">The Church of the Holy </w:t>
      </w:r>
      <w:proofErr w:type="spellStart"/>
      <w:r>
        <w:t>Sepulchre</w:t>
      </w:r>
      <w:proofErr w:type="spellEnd"/>
      <w:r>
        <w:t xml:space="preserve"> stands on the traditional site of Jesus' crucifixion and burial. Excavations show that in the time of Jesus this area was an old quarry outside the city walls, containing rock-cut tombs of the first century, as the Gospels require (John 19:41–42; </w:t>
      </w:r>
      <w:proofErr w:type="spellStart"/>
      <w:r>
        <w:t>Heb</w:t>
      </w:r>
      <w:proofErr w:type="spellEnd"/>
      <w:r>
        <w:t xml:space="preserve"> 13:12). The area was brought inside the city by a new wall built in the 40s AD. The early church historian Eusebius records that the emperor Constantine removed a Roman temple built over the site and uncovered a tomb </w:t>
      </w:r>
      <w:proofErr w:type="spellStart"/>
      <w:r>
        <w:t>honoured</w:t>
      </w:r>
      <w:proofErr w:type="spellEnd"/>
      <w:r>
        <w:t xml:space="preserve"> as that of Jesus. Most archaeologists regard the Holy </w:t>
      </w:r>
      <w:proofErr w:type="spellStart"/>
      <w:r>
        <w:t>Sepulchre</w:t>
      </w:r>
      <w:proofErr w:type="spellEnd"/>
      <w:r>
        <w:t xml:space="preserve"> as a much stronger candidate than the Garden Tomb, which is an older tomb from the time of the kings of Judah, several centuries too early.</w:t>
      </w:r>
      <w:r>
        <w:rPr>
          <w:vertAlign w:val="superscript"/>
        </w:rPr>
        <w:t>88</w:t>
      </w:r>
    </w:p>
    <w:p w:rsidR="008E4B08" w:rsidRDefault="00C51EF0">
      <w:pPr>
        <w:spacing w:line="480" w:lineRule="auto"/>
        <w:ind w:firstLine="720"/>
        <w:jc w:val="both"/>
      </w:pPr>
      <w:r>
        <w:rPr>
          <w:b/>
          <w:bCs/>
        </w:rPr>
        <w:lastRenderedPageBreak/>
        <w:t>Example.</w:t>
      </w:r>
      <w:r>
        <w:t xml:space="preserve"> Many Nigerian pilgrims visit the Garden Tomb because it is quiet and beautiful and helps them to pray. There is nothing wrong with praying there. But pastors should explain honestly that it is very unlikely to be the actual tomb of Jesus. The power of the resurrection does not depend on knowing the exact spot.</w:t>
      </w:r>
    </w:p>
    <w:p w:rsidR="008E4B08" w:rsidRDefault="00C51EF0">
      <w:pPr>
        <w:pStyle w:val="Heading2"/>
        <w:keepNext/>
        <w:spacing w:before="240" w:after="120" w:line="360" w:lineRule="auto"/>
      </w:pPr>
      <w:bookmarkStart w:id="150" w:name="_Toc241908511"/>
      <w:r>
        <w:t>11.8 Beware of Sensational Claims</w:t>
      </w:r>
      <w:bookmarkEnd w:id="150"/>
    </w:p>
    <w:p w:rsidR="008E4B08" w:rsidRDefault="00C51EF0">
      <w:pPr>
        <w:spacing w:line="480" w:lineRule="auto"/>
        <w:jc w:val="both"/>
      </w:pPr>
      <w:r>
        <w:t xml:space="preserve">The archaeology of Jesus attracts sensational claims, often spread through documentaries and the internet. In 2007 a documentary claimed that a tomb in </w:t>
      </w:r>
      <w:proofErr w:type="spellStart"/>
      <w:r>
        <w:t>Talpiot</w:t>
      </w:r>
      <w:proofErr w:type="spellEnd"/>
      <w:r>
        <w:t>, Jerusalem, discovered in 1980, was the family tomb of Jesus, with bone boxes inscribed with names such as "Jesus son of Joseph" and "</w:t>
      </w:r>
      <w:proofErr w:type="spellStart"/>
      <w:r>
        <w:t>Mariamene</w:t>
      </w:r>
      <w:proofErr w:type="spellEnd"/>
      <w:r>
        <w:t>". Archaeologists and experts in ancient inscriptions almost unanimously rejected the claim. These names were very common at the time, and a poor family from Nazareth would not have owned an expensive tomb in Jerusalem. The "James ossuary" is discussed in Unit Thirteen. Students should test such claims carefully and consult scholarly sources rather than popular media.</w:t>
      </w:r>
    </w:p>
    <w:p w:rsidR="008E4B08" w:rsidRDefault="00C51EF0">
      <w:pPr>
        <w:pStyle w:val="Heading2"/>
        <w:keepNext/>
        <w:spacing w:before="240" w:after="120" w:line="360" w:lineRule="auto"/>
      </w:pPr>
      <w:bookmarkStart w:id="151" w:name="_Toc241908512"/>
      <w:r>
        <w:t>11.9 Summary</w:t>
      </w:r>
      <w:bookmarkEnd w:id="151"/>
    </w:p>
    <w:p w:rsidR="008E4B08" w:rsidRDefault="00C51EF0">
      <w:pPr>
        <w:spacing w:line="480" w:lineRule="auto"/>
        <w:jc w:val="both"/>
      </w:pPr>
      <w:r>
        <w:t xml:space="preserve">Archaeology has shed light on the world of the Gospels in detail. It shows that Galilee was mainly Jewish, that Nazareth was a small village, that Capernaum and </w:t>
      </w:r>
      <w:proofErr w:type="spellStart"/>
      <w:r>
        <w:t>Magdala</w:t>
      </w:r>
      <w:proofErr w:type="spellEnd"/>
      <w:r>
        <w:t xml:space="preserve"> had synagogues, and that boats like the one found in the Sea of Galilee carried Jesus and his disciples. In Jerusalem, the remains of Herod's temple, the pools of Bethesda and Siloam and the houses of the priestly families set the scene of Jesus' final week. Inscriptions name Pilate and probably Caiaphas, and the remains of a crucified man help us understand how Jesus died and was buried. These discoveries confirm the general accuracy of the Gospels' setting, while reminding us that the central claims of the gospel rest on testimony and faith, not on excavation.</w:t>
      </w:r>
    </w:p>
    <w:p w:rsidR="008E4B08" w:rsidRDefault="00C51EF0">
      <w:pPr>
        <w:pStyle w:val="Heading2"/>
        <w:keepNext/>
        <w:spacing w:before="240" w:after="120" w:line="360" w:lineRule="auto"/>
      </w:pPr>
      <w:bookmarkStart w:id="152" w:name="_Toc241908513"/>
      <w:r>
        <w:lastRenderedPageBreak/>
        <w:t>11.10 Life Application</w:t>
      </w:r>
      <w:bookmarkEnd w:id="152"/>
    </w:p>
    <w:p w:rsidR="008E4B08" w:rsidRDefault="00C51EF0">
      <w:pPr>
        <w:spacing w:line="480" w:lineRule="auto"/>
        <w:jc w:val="both"/>
      </w:pPr>
      <w:r>
        <w:t>The archaeology of the Gospels brings us close to the world in which Jesus lived, taught, suffered and rose again. It invites both worship and practical discipleship.</w:t>
      </w:r>
    </w:p>
    <w:p w:rsidR="008E4B08" w:rsidRDefault="00C51EF0">
      <w:pPr>
        <w:pStyle w:val="ListParagraph"/>
        <w:numPr>
          <w:ilvl w:val="0"/>
          <w:numId w:val="2"/>
        </w:numPr>
        <w:spacing w:line="480" w:lineRule="auto"/>
        <w:jc w:val="both"/>
      </w:pPr>
      <w:r>
        <w:rPr>
          <w:b/>
          <w:bCs/>
        </w:rPr>
        <w:t>The incarnation was real.</w:t>
      </w:r>
      <w:r>
        <w:t xml:space="preserve"> Jesus lived in a small village, worked with his hands and ministered among ordinary people. We can know that God understands human life from the inside (</w:t>
      </w:r>
      <w:proofErr w:type="spellStart"/>
      <w:r>
        <w:t>Heb</w:t>
      </w:r>
      <w:proofErr w:type="spellEnd"/>
      <w:r>
        <w:t xml:space="preserve"> 4:15).</w:t>
      </w:r>
    </w:p>
    <w:p w:rsidR="008E4B08" w:rsidRDefault="00C51EF0">
      <w:pPr>
        <w:pStyle w:val="ListParagraph"/>
        <w:numPr>
          <w:ilvl w:val="0"/>
          <w:numId w:val="2"/>
        </w:numPr>
        <w:spacing w:line="480" w:lineRule="auto"/>
        <w:jc w:val="both"/>
      </w:pPr>
      <w:r>
        <w:rPr>
          <w:b/>
          <w:bCs/>
        </w:rPr>
        <w:t>Ministry among ordinary people.</w:t>
      </w:r>
      <w:r>
        <w:t xml:space="preserve"> Jesus </w:t>
      </w:r>
      <w:proofErr w:type="spellStart"/>
      <w:r>
        <w:t>centred</w:t>
      </w:r>
      <w:proofErr w:type="spellEnd"/>
      <w:r>
        <w:t xml:space="preserve"> his ministry in villages like Capernaum rather than in the cities of the powerful. The church should give priority to the poor and the overlooked.</w:t>
      </w:r>
    </w:p>
    <w:p w:rsidR="008E4B08" w:rsidRDefault="00C51EF0">
      <w:pPr>
        <w:pStyle w:val="ListParagraph"/>
        <w:numPr>
          <w:ilvl w:val="0"/>
          <w:numId w:val="2"/>
        </w:numPr>
        <w:spacing w:line="480" w:lineRule="auto"/>
        <w:jc w:val="both"/>
      </w:pPr>
      <w:r>
        <w:rPr>
          <w:b/>
          <w:bCs/>
        </w:rPr>
        <w:t>The cross was a historical horror.</w:t>
      </w:r>
      <w:r>
        <w:t xml:space="preserve"> The nail in </w:t>
      </w:r>
      <w:proofErr w:type="spellStart"/>
      <w:r>
        <w:t>Yehohanan's</w:t>
      </w:r>
      <w:proofErr w:type="spellEnd"/>
      <w:r>
        <w:t xml:space="preserve"> heel reminds us of the brutal reality of crucifixion. Christ's suffering for us was real, and our gratitude should be deep.</w:t>
      </w:r>
    </w:p>
    <w:p w:rsidR="008E4B08" w:rsidRDefault="00C51EF0">
      <w:pPr>
        <w:pStyle w:val="ListParagraph"/>
        <w:numPr>
          <w:ilvl w:val="0"/>
          <w:numId w:val="2"/>
        </w:numPr>
        <w:spacing w:line="480" w:lineRule="auto"/>
        <w:jc w:val="both"/>
      </w:pPr>
      <w:r>
        <w:rPr>
          <w:b/>
          <w:bCs/>
        </w:rPr>
        <w:t>Test every claim.</w:t>
      </w:r>
      <w:r>
        <w:t xml:space="preserve"> The supposed "tomb of Jesus" reminds us to test every claim (1 John 4:1). The empty tomb is proclaimed by the testimony of the apostles, not by discoveries in the ground.</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 xml:space="preserve">Lord Jesus, thank you for taking on human flesh and living among us. Thank you for bearing the real pain of the cross for my salvation. Teach me to serve as you served, among the humble and the forgotten. Keep me discerning in a world of </w:t>
      </w:r>
      <w:proofErr w:type="spellStart"/>
      <w:r>
        <w:rPr>
          <w:i/>
          <w:iCs/>
        </w:rPr>
        <w:t>rumours</w:t>
      </w:r>
      <w:proofErr w:type="spellEnd"/>
      <w:r>
        <w:rPr>
          <w:i/>
          <w:iCs/>
        </w:rPr>
        <w:t>, and firm in the truth of your resurrection. Amen.</w:t>
      </w:r>
    </w:p>
    <w:p w:rsidR="008E4B08" w:rsidRDefault="00C51EF0">
      <w:pPr>
        <w:pStyle w:val="Heading2"/>
        <w:keepNext/>
        <w:spacing w:before="240" w:after="120" w:line="360" w:lineRule="auto"/>
      </w:pPr>
      <w:bookmarkStart w:id="153" w:name="_Toc241908514"/>
      <w:r>
        <w:t>11.11 Discussion Questions</w:t>
      </w:r>
      <w:bookmarkEnd w:id="153"/>
    </w:p>
    <w:p w:rsidR="008E4B08" w:rsidRDefault="00C51EF0">
      <w:pPr>
        <w:tabs>
          <w:tab w:val="left" w:pos="720"/>
        </w:tabs>
        <w:spacing w:line="480" w:lineRule="auto"/>
        <w:ind w:left="720" w:hanging="360"/>
        <w:jc w:val="both"/>
      </w:pPr>
      <w:r>
        <w:t>1.</w:t>
      </w:r>
      <w:r>
        <w:tab/>
        <w:t>How has archaeology changed our understanding of the Galilee in which Jesus ministered?</w:t>
      </w:r>
    </w:p>
    <w:p w:rsidR="008E4B08" w:rsidRDefault="00C51EF0">
      <w:pPr>
        <w:tabs>
          <w:tab w:val="left" w:pos="720"/>
        </w:tabs>
        <w:spacing w:line="480" w:lineRule="auto"/>
        <w:ind w:left="720" w:hanging="360"/>
        <w:jc w:val="both"/>
      </w:pPr>
      <w:r>
        <w:t>2.</w:t>
      </w:r>
      <w:r>
        <w:tab/>
        <w:t>What do the discoveries of the Pools of Bethesda and Siloam suggest about the historical value of John's Gospel?</w:t>
      </w:r>
    </w:p>
    <w:p w:rsidR="008E4B08" w:rsidRDefault="00C51EF0">
      <w:pPr>
        <w:tabs>
          <w:tab w:val="left" w:pos="720"/>
        </w:tabs>
        <w:spacing w:line="480" w:lineRule="auto"/>
        <w:ind w:left="720" w:hanging="360"/>
        <w:jc w:val="both"/>
      </w:pPr>
      <w:r>
        <w:lastRenderedPageBreak/>
        <w:t>3.</w:t>
      </w:r>
      <w:r>
        <w:tab/>
        <w:t>Assess the importance of the Pilate inscription and the Caiaphas bone box for the accounts of Jesus' trial.</w:t>
      </w:r>
    </w:p>
    <w:p w:rsidR="008E4B08" w:rsidRDefault="00C51EF0">
      <w:pPr>
        <w:tabs>
          <w:tab w:val="left" w:pos="720"/>
        </w:tabs>
        <w:spacing w:line="480" w:lineRule="auto"/>
        <w:ind w:left="720" w:hanging="360"/>
        <w:jc w:val="both"/>
      </w:pPr>
      <w:r>
        <w:t>4.</w:t>
      </w:r>
      <w:r>
        <w:tab/>
        <w:t xml:space="preserve">Evaluate the evidence for the Church of the Holy </w:t>
      </w:r>
      <w:proofErr w:type="spellStart"/>
      <w:r>
        <w:t>Sepulchre</w:t>
      </w:r>
      <w:proofErr w:type="spellEnd"/>
      <w:r>
        <w:t xml:space="preserve"> as the place of Jesus' burial. How should pastors guide pilgrims on this question?</w:t>
      </w:r>
    </w:p>
    <w:p w:rsidR="008E4B08" w:rsidRDefault="00C51EF0">
      <w:pPr>
        <w:pStyle w:val="Heading2"/>
        <w:keepNext/>
        <w:spacing w:before="240" w:after="120" w:line="360" w:lineRule="auto"/>
      </w:pPr>
      <w:bookmarkStart w:id="154" w:name="_Toc241908515"/>
      <w:r>
        <w:t>11.12 Further Reading</w:t>
      </w:r>
      <w:bookmarkEnd w:id="154"/>
    </w:p>
    <w:p w:rsidR="008E4B08" w:rsidRDefault="00C51EF0">
      <w:pPr>
        <w:spacing w:after="160"/>
        <w:ind w:left="720" w:hanging="720"/>
      </w:pPr>
      <w:proofErr w:type="spellStart"/>
      <w:r>
        <w:t>Charlesworth</w:t>
      </w:r>
      <w:proofErr w:type="spellEnd"/>
      <w:r>
        <w:t xml:space="preserve">, James H., ed. </w:t>
      </w:r>
      <w:r>
        <w:rPr>
          <w:i/>
          <w:iCs/>
        </w:rPr>
        <w:t>Jesus and Archaeology</w:t>
      </w:r>
      <w:r>
        <w:t>. Grand Rapids: Eerdmans, 2006.</w:t>
      </w:r>
    </w:p>
    <w:p w:rsidR="008E4B08" w:rsidRDefault="00C51EF0">
      <w:pPr>
        <w:spacing w:after="160"/>
        <w:ind w:left="720" w:hanging="720"/>
      </w:pPr>
      <w:proofErr w:type="spellStart"/>
      <w:r>
        <w:t>Crossan</w:t>
      </w:r>
      <w:proofErr w:type="spellEnd"/>
      <w:r>
        <w:t xml:space="preserve">, John Dominic, and Jonathan L. Reed. </w:t>
      </w:r>
      <w:r>
        <w:rPr>
          <w:i/>
          <w:iCs/>
        </w:rPr>
        <w:t>Excavating Jesus: Beneath the Stones, Behind the Texts</w:t>
      </w:r>
      <w:r>
        <w:t xml:space="preserve">. San Francisco: </w:t>
      </w:r>
      <w:proofErr w:type="spellStart"/>
      <w:r>
        <w:t>HarperSanFrancisco</w:t>
      </w:r>
      <w:proofErr w:type="spellEnd"/>
      <w:r>
        <w:t>, 2001.</w:t>
      </w:r>
    </w:p>
    <w:p w:rsidR="008E4B08" w:rsidRDefault="00C51EF0">
      <w:pPr>
        <w:spacing w:after="160"/>
        <w:ind w:left="720" w:hanging="720"/>
      </w:pPr>
      <w:r>
        <w:t xml:space="preserve">Evans, Craig A. </w:t>
      </w:r>
      <w:r>
        <w:rPr>
          <w:i/>
          <w:iCs/>
        </w:rPr>
        <w:t>Jesus and His World: The Archaeological Evidence</w:t>
      </w:r>
      <w:r>
        <w:t>. Louisville: Westminster John Knox, 2012.</w:t>
      </w:r>
    </w:p>
    <w:p w:rsidR="008E4B08" w:rsidRDefault="00C51EF0">
      <w:pPr>
        <w:spacing w:after="160"/>
        <w:ind w:left="720" w:hanging="720"/>
      </w:pPr>
      <w:r>
        <w:t xml:space="preserve">Reed, Jonathan L. </w:t>
      </w:r>
      <w:r>
        <w:rPr>
          <w:i/>
          <w:iCs/>
        </w:rPr>
        <w:t>Archaeology and the Galilean Jesus</w:t>
      </w:r>
      <w:r>
        <w:t>. Harrisburg, PA: Trinity Press International, 2000.</w:t>
      </w:r>
    </w:p>
    <w:p w:rsidR="008E4B08" w:rsidRDefault="00C51EF0">
      <w:pPr>
        <w:pStyle w:val="Heading1"/>
        <w:pageBreakBefore/>
        <w:spacing w:after="360" w:line="360" w:lineRule="auto"/>
        <w:jc w:val="center"/>
      </w:pPr>
      <w:bookmarkStart w:id="155" w:name="_Toc241908516"/>
      <w:r>
        <w:lastRenderedPageBreak/>
        <w:t>UNIT TWELVE: ARCHAEOLOGY, ACTS AND THE EARLY CHURCH</w:t>
      </w:r>
      <w:bookmarkEnd w:id="155"/>
    </w:p>
    <w:p w:rsidR="008E4B08" w:rsidRDefault="00C51EF0">
      <w:pPr>
        <w:pStyle w:val="Heading2"/>
        <w:keepNext/>
        <w:spacing w:before="240" w:after="120" w:line="360" w:lineRule="auto"/>
      </w:pPr>
      <w:bookmarkStart w:id="156" w:name="_Toc241908517"/>
      <w:r>
        <w:t>12.1 Introduction</w:t>
      </w:r>
      <w:bookmarkEnd w:id="156"/>
    </w:p>
    <w:p w:rsidR="008E4B08" w:rsidRDefault="00C51EF0">
      <w:pPr>
        <w:spacing w:line="480" w:lineRule="auto"/>
        <w:jc w:val="both"/>
      </w:pPr>
      <w:r>
        <w:t>The Acts of the Apostles and the New Testament letters carry the story of the gospel from Jerusalem across the eastern Mediterranean to Rome. They mention cities, provinces, officials, institutions and customs throughout the Roman world. Because the Roman world is richly documented by inscriptions, coins and excavated cities, this part of the New Testament can be compared with a very large amount of outside evidence. This unit examines the archaeology of Paul's missionary journeys, the cities of the letters and of Revelation, and the physical remains of early Christianity.</w:t>
      </w:r>
    </w:p>
    <w:p w:rsidR="008E4B08" w:rsidRDefault="00C51EF0">
      <w:pPr>
        <w:pStyle w:val="Heading2"/>
        <w:keepNext/>
        <w:spacing w:before="240" w:after="120" w:line="360" w:lineRule="auto"/>
      </w:pPr>
      <w:bookmarkStart w:id="157" w:name="_Toc241908518"/>
      <w:r>
        <w:t>12.2 Learning Objectives</w:t>
      </w:r>
      <w:bookmarkEnd w:id="157"/>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 xml:space="preserve">explain the contribution of William Ramsay and Colin </w:t>
      </w:r>
      <w:proofErr w:type="spellStart"/>
      <w:r>
        <w:t>Hemer</w:t>
      </w:r>
      <w:proofErr w:type="spellEnd"/>
      <w:r>
        <w:t xml:space="preserve"> to the study of Acts;</w:t>
      </w:r>
    </w:p>
    <w:p w:rsidR="008E4B08" w:rsidRDefault="00C51EF0">
      <w:pPr>
        <w:pStyle w:val="ListParagraph"/>
        <w:numPr>
          <w:ilvl w:val="0"/>
          <w:numId w:val="2"/>
        </w:numPr>
        <w:spacing w:line="480" w:lineRule="auto"/>
        <w:jc w:val="both"/>
      </w:pPr>
      <w:r>
        <w:t>describe key inscriptions relating to people and offices named in Acts;</w:t>
      </w:r>
    </w:p>
    <w:p w:rsidR="008E4B08" w:rsidRDefault="00C51EF0">
      <w:pPr>
        <w:pStyle w:val="ListParagraph"/>
        <w:numPr>
          <w:ilvl w:val="0"/>
          <w:numId w:val="2"/>
        </w:numPr>
        <w:spacing w:line="480" w:lineRule="auto"/>
        <w:jc w:val="both"/>
      </w:pPr>
      <w:r>
        <w:t>discuss the archaeology of Corinth, Ephesus and other cities of Paul's mission; and</w:t>
      </w:r>
    </w:p>
    <w:p w:rsidR="008E4B08" w:rsidRDefault="00C51EF0">
      <w:pPr>
        <w:pStyle w:val="ListParagraph"/>
        <w:numPr>
          <w:ilvl w:val="0"/>
          <w:numId w:val="2"/>
        </w:numPr>
        <w:spacing w:line="480" w:lineRule="auto"/>
        <w:jc w:val="both"/>
      </w:pPr>
      <w:proofErr w:type="gramStart"/>
      <w:r>
        <w:t>describe</w:t>
      </w:r>
      <w:proofErr w:type="gramEnd"/>
      <w:r>
        <w:t xml:space="preserve"> the archaeological evidence for early Christian worship and community life.</w:t>
      </w:r>
    </w:p>
    <w:p w:rsidR="008E4B08" w:rsidRDefault="00C51EF0">
      <w:pPr>
        <w:pStyle w:val="Heading2"/>
        <w:keepNext/>
        <w:spacing w:before="240" w:after="120" w:line="360" w:lineRule="auto"/>
      </w:pPr>
      <w:bookmarkStart w:id="158" w:name="_Toc241908519"/>
      <w:r>
        <w:t>12.3 Luke as a Historian</w:t>
      </w:r>
      <w:bookmarkEnd w:id="158"/>
    </w:p>
    <w:p w:rsidR="008E4B08" w:rsidRDefault="00C51EF0">
      <w:pPr>
        <w:spacing w:line="480" w:lineRule="auto"/>
        <w:jc w:val="both"/>
      </w:pPr>
      <w:r>
        <w:t xml:space="preserve">In the late nineteenth century, many German scholars regarded Acts as a second-century work of theological fiction. The Scottish scholar Sir William Ramsay travelled widely in Asia Minor (modern Turkey), studying its geography and inscriptions. He began with a </w:t>
      </w:r>
      <w:proofErr w:type="spellStart"/>
      <w:r>
        <w:t>sceptical</w:t>
      </w:r>
      <w:proofErr w:type="spellEnd"/>
      <w:r>
        <w:t xml:space="preserve"> view, but his research convinced him that Luke was an accurate historian, exact in his use of local titles, geography and customs.</w:t>
      </w:r>
      <w:r>
        <w:rPr>
          <w:vertAlign w:val="superscript"/>
        </w:rPr>
        <w:t>89</w:t>
      </w:r>
    </w:p>
    <w:p w:rsidR="008E4B08" w:rsidRDefault="00C51EF0">
      <w:pPr>
        <w:spacing w:line="480" w:lineRule="auto"/>
        <w:ind w:firstLine="720"/>
        <w:jc w:val="both"/>
      </w:pPr>
      <w:r>
        <w:t xml:space="preserve">A century later, Colin </w:t>
      </w:r>
      <w:proofErr w:type="spellStart"/>
      <w:r>
        <w:t>Hemer</w:t>
      </w:r>
      <w:proofErr w:type="spellEnd"/>
      <w:r>
        <w:t xml:space="preserve"> carefully studied the historical details in Acts. He listed many items, from the names of officials to the routes of sea </w:t>
      </w:r>
      <w:proofErr w:type="gramStart"/>
      <w:r>
        <w:t>voyages, that</w:t>
      </w:r>
      <w:proofErr w:type="gramEnd"/>
      <w:r>
        <w:t xml:space="preserve"> can be checked against outside evidence. He concluded that Acts shows detailed and accurate knowledge of </w:t>
      </w:r>
      <w:r>
        <w:lastRenderedPageBreak/>
        <w:t>the first-century Roman world, best explained if the author lived at that time and had first-hand knowledge.</w:t>
      </w:r>
      <w:r>
        <w:rPr>
          <w:vertAlign w:val="superscript"/>
        </w:rPr>
        <w:t>90</w:t>
      </w:r>
      <w:r>
        <w:t xml:space="preserve"> Not all scholars accept </w:t>
      </w:r>
      <w:proofErr w:type="spellStart"/>
      <w:r>
        <w:t>Hemer's</w:t>
      </w:r>
      <w:proofErr w:type="spellEnd"/>
      <w:r>
        <w:t xml:space="preserve"> conclusions about the author and date, but his list of confirmed details is widely recognised.</w:t>
      </w:r>
    </w:p>
    <w:p w:rsidR="008E4B08" w:rsidRDefault="00C51EF0">
      <w:pPr>
        <w:spacing w:line="480" w:lineRule="auto"/>
        <w:ind w:firstLine="720"/>
        <w:jc w:val="both"/>
      </w:pPr>
      <w:r>
        <w:rPr>
          <w:b/>
          <w:bCs/>
        </w:rPr>
        <w:t>Example.</w:t>
      </w:r>
      <w:r>
        <w:t xml:space="preserve"> A newspaper reporter who writes about events in Nigeria and correctly uses titles such as "Local Government Chairman", "Emir", "Oba" and "Commissioner" in the right places shows that he knows the country well. Someone who invented a story without knowing Nigeria would make obvious mistakes. Luke's correct use of local titles across many Roman cities shows the same kind of first-hand knowledge.</w:t>
      </w:r>
    </w:p>
    <w:p w:rsidR="008E4B08" w:rsidRDefault="00C51EF0">
      <w:pPr>
        <w:pStyle w:val="Heading2"/>
        <w:keepNext/>
        <w:spacing w:before="240" w:after="120" w:line="360" w:lineRule="auto"/>
      </w:pPr>
      <w:bookmarkStart w:id="159" w:name="_Toc241908520"/>
      <w:r>
        <w:t>12.4 Officials and Titles in Acts</w:t>
      </w:r>
      <w:bookmarkEnd w:id="159"/>
    </w:p>
    <w:p w:rsidR="008E4B08" w:rsidRDefault="00C51EF0">
      <w:pPr>
        <w:spacing w:line="480" w:lineRule="auto"/>
        <w:jc w:val="both"/>
      </w:pPr>
      <w:r>
        <w:t>Roman government was complicated. Provinces were ruled by officials with different titles depending on the type of province: proconsuls in provinces under the Senate, and prefects, procurators or legates in provinces under the emperor. Cities also had their own officials with local titles. Luke uses these titles correctly in many cases.</w:t>
      </w:r>
    </w:p>
    <w:p w:rsidR="008E4B08" w:rsidRDefault="00C51EF0">
      <w:pPr>
        <w:pStyle w:val="Heading3"/>
        <w:keepNext/>
        <w:spacing w:before="120" w:after="60" w:line="360" w:lineRule="auto"/>
      </w:pPr>
      <w:r>
        <w:t xml:space="preserve">12.4.1 </w:t>
      </w:r>
      <w:proofErr w:type="spellStart"/>
      <w:r>
        <w:t>Sergius</w:t>
      </w:r>
      <w:proofErr w:type="spellEnd"/>
      <w:r>
        <w:t xml:space="preserve"> Paulus</w:t>
      </w:r>
    </w:p>
    <w:p w:rsidR="008E4B08" w:rsidRDefault="00C51EF0">
      <w:pPr>
        <w:spacing w:line="480" w:lineRule="auto"/>
        <w:jc w:val="both"/>
      </w:pPr>
      <w:r>
        <w:t xml:space="preserve">In Cyprus, Paul met "the proconsul, </w:t>
      </w:r>
      <w:proofErr w:type="spellStart"/>
      <w:r>
        <w:t>Sergius</w:t>
      </w:r>
      <w:proofErr w:type="spellEnd"/>
      <w:r>
        <w:t xml:space="preserve"> Paulus, a man of intelligence" (Acts 13:7). Cyprus was a province governed by a proconsul at that time, just as Luke says. Inscriptions mention members of the </w:t>
      </w:r>
      <w:proofErr w:type="spellStart"/>
      <w:r>
        <w:t>Sergii</w:t>
      </w:r>
      <w:proofErr w:type="spellEnd"/>
      <w:r>
        <w:t xml:space="preserve"> Pauli family, and one from Rome names a Lucius </w:t>
      </w:r>
      <w:proofErr w:type="spellStart"/>
      <w:r>
        <w:t>Sergius</w:t>
      </w:r>
      <w:proofErr w:type="spellEnd"/>
      <w:r>
        <w:t xml:space="preserve"> </w:t>
      </w:r>
      <w:proofErr w:type="spellStart"/>
      <w:r>
        <w:t>Paullus</w:t>
      </w:r>
      <w:proofErr w:type="spellEnd"/>
      <w:r>
        <w:t xml:space="preserve"> as an official under the emperor Claudius, possibly the same man or a relative. Other inscriptions from </w:t>
      </w:r>
      <w:proofErr w:type="spellStart"/>
      <w:r>
        <w:t>Pisidian</w:t>
      </w:r>
      <w:proofErr w:type="spellEnd"/>
      <w:r>
        <w:t xml:space="preserve"> Antioch show that the family owned land there, which may explain why Paul travelled next to </w:t>
      </w:r>
      <w:proofErr w:type="spellStart"/>
      <w:r>
        <w:t>Pisidian</w:t>
      </w:r>
      <w:proofErr w:type="spellEnd"/>
      <w:r>
        <w:t xml:space="preserve"> Antioch (Acts 13:14).</w:t>
      </w:r>
    </w:p>
    <w:p w:rsidR="008E4B08" w:rsidRDefault="00C51EF0">
      <w:pPr>
        <w:pStyle w:val="Heading3"/>
        <w:keepNext/>
        <w:spacing w:before="120" w:after="60" w:line="360" w:lineRule="auto"/>
      </w:pPr>
      <w:r>
        <w:t xml:space="preserve">12.4.2 The </w:t>
      </w:r>
      <w:proofErr w:type="spellStart"/>
      <w:r>
        <w:t>Politarchs</w:t>
      </w:r>
      <w:proofErr w:type="spellEnd"/>
      <w:r>
        <w:t xml:space="preserve"> of Thessalonica</w:t>
      </w:r>
    </w:p>
    <w:p w:rsidR="008E4B08" w:rsidRDefault="00C51EF0">
      <w:pPr>
        <w:spacing w:line="480" w:lineRule="auto"/>
        <w:jc w:val="both"/>
      </w:pPr>
      <w:r>
        <w:t xml:space="preserve">Luke says that the Jews of Thessalonica dragged Jason before "the city authorities" (Acts 17:6, 8). The Greek word he uses is </w:t>
      </w:r>
      <w:proofErr w:type="spellStart"/>
      <w:r>
        <w:rPr>
          <w:i/>
          <w:iCs/>
        </w:rPr>
        <w:t>politarchai</w:t>
      </w:r>
      <w:proofErr w:type="spellEnd"/>
      <w:r>
        <w:t>, "</w:t>
      </w:r>
      <w:proofErr w:type="spellStart"/>
      <w:r>
        <w:t>politarchs</w:t>
      </w:r>
      <w:proofErr w:type="spellEnd"/>
      <w:r>
        <w:t xml:space="preserve">". This title was once thought to be a mistake, because it was not found in classical Greek literature. Since then about forty </w:t>
      </w:r>
      <w:r>
        <w:lastRenderedPageBreak/>
        <w:t>inscriptions using the title have been found, most from Macedonia and several from Thessalonica itself.</w:t>
      </w:r>
      <w:r>
        <w:rPr>
          <w:vertAlign w:val="superscript"/>
        </w:rPr>
        <w:t>91</w:t>
      </w:r>
    </w:p>
    <w:p w:rsidR="008E4B08" w:rsidRDefault="00C51EF0">
      <w:pPr>
        <w:spacing w:line="480" w:lineRule="auto"/>
        <w:ind w:firstLine="720"/>
        <w:jc w:val="both"/>
      </w:pPr>
      <w:r>
        <w:rPr>
          <w:b/>
          <w:bCs/>
        </w:rPr>
        <w:t>Example.</w:t>
      </w:r>
      <w:r>
        <w:t xml:space="preserve"> This case shows the danger of assuming that the Bible is wrong simply because a word or title is not found elsewhere. Further discovery proved Luke right. Students should therefore be patient when they cannot yet find outside evidence for a biblical detail.</w:t>
      </w:r>
    </w:p>
    <w:p w:rsidR="008E4B08" w:rsidRDefault="00C51EF0">
      <w:pPr>
        <w:pStyle w:val="Heading3"/>
        <w:keepNext/>
        <w:spacing w:before="120" w:after="60" w:line="360" w:lineRule="auto"/>
      </w:pPr>
      <w:r>
        <w:t xml:space="preserve">12.4.3 The </w:t>
      </w:r>
      <w:proofErr w:type="spellStart"/>
      <w:r>
        <w:t>Gallio</w:t>
      </w:r>
      <w:proofErr w:type="spellEnd"/>
      <w:r>
        <w:t xml:space="preserve"> Inscription</w:t>
      </w:r>
    </w:p>
    <w:p w:rsidR="008E4B08" w:rsidRDefault="00C51EF0">
      <w:pPr>
        <w:spacing w:line="480" w:lineRule="auto"/>
        <w:jc w:val="both"/>
      </w:pPr>
      <w:r>
        <w:t>At Corinth, Paul was brought before "</w:t>
      </w:r>
      <w:proofErr w:type="spellStart"/>
      <w:r>
        <w:t>Gallio</w:t>
      </w:r>
      <w:proofErr w:type="spellEnd"/>
      <w:r>
        <w:t xml:space="preserve"> ... proconsul of Achaia" (Acts 18:12). An inscription found at Delphi in Greece preserves a letter from the emperor Claudius that mentions "</w:t>
      </w:r>
      <w:proofErr w:type="spellStart"/>
      <w:r>
        <w:t>Junius</w:t>
      </w:r>
      <w:proofErr w:type="spellEnd"/>
      <w:r>
        <w:t xml:space="preserve"> </w:t>
      </w:r>
      <w:proofErr w:type="spellStart"/>
      <w:r>
        <w:t>Gallio</w:t>
      </w:r>
      <w:proofErr w:type="spellEnd"/>
      <w:r>
        <w:t xml:space="preserve">, my friend and proconsul". The letter can be dated to AD 52, which places </w:t>
      </w:r>
      <w:proofErr w:type="spellStart"/>
      <w:r>
        <w:t>Gallio's</w:t>
      </w:r>
      <w:proofErr w:type="spellEnd"/>
      <w:r>
        <w:t xml:space="preserve"> year in office in AD 51–52. Because proconsuls usually served for one year, this inscription is the most important fixed point for dating Paul's life. It shows that Paul was in Corinth for eighteen months around AD 50–52 (Acts 18:11).</w:t>
      </w:r>
      <w:r>
        <w:rPr>
          <w:vertAlign w:val="superscript"/>
        </w:rPr>
        <w:t>92</w:t>
      </w:r>
    </w:p>
    <w:p w:rsidR="008E4B08" w:rsidRDefault="00C51EF0">
      <w:pPr>
        <w:pStyle w:val="Heading3"/>
        <w:keepNext/>
        <w:spacing w:before="120" w:after="60" w:line="360" w:lineRule="auto"/>
      </w:pPr>
      <w:r>
        <w:t>12.4.4 Other Officials</w:t>
      </w:r>
    </w:p>
    <w:p w:rsidR="008E4B08" w:rsidRDefault="00C51EF0">
      <w:pPr>
        <w:spacing w:line="480" w:lineRule="auto"/>
        <w:jc w:val="both"/>
      </w:pPr>
      <w:r>
        <w:t xml:space="preserve">Luke correctly calls the officials of the Roman colony of Philippi </w:t>
      </w:r>
      <w:proofErr w:type="spellStart"/>
      <w:r>
        <w:rPr>
          <w:i/>
          <w:iCs/>
        </w:rPr>
        <w:t>strategoi</w:t>
      </w:r>
      <w:proofErr w:type="spellEnd"/>
      <w:r>
        <w:t xml:space="preserve"> (magistrates) and mentions their attendants, the </w:t>
      </w:r>
      <w:proofErr w:type="spellStart"/>
      <w:r>
        <w:t>lictors</w:t>
      </w:r>
      <w:proofErr w:type="spellEnd"/>
      <w:r>
        <w:t xml:space="preserve"> (Acts 16:20–38). He calls the leading official of Malta "the chief man of the island" (Acts 28:7), a title found on inscriptions from Malta. He mentions the "</w:t>
      </w:r>
      <w:proofErr w:type="spellStart"/>
      <w:r>
        <w:t>Asiarchs</w:t>
      </w:r>
      <w:proofErr w:type="spellEnd"/>
      <w:r>
        <w:t>" (Acts 19:31) and the "town clerk" (Acts 19:35) at Ephesus, both known from Ephesian inscriptions.</w:t>
      </w:r>
    </w:p>
    <w:p w:rsidR="008E4B08" w:rsidRDefault="00C51EF0">
      <w:pPr>
        <w:pStyle w:val="Heading2"/>
        <w:keepNext/>
        <w:spacing w:before="240" w:after="120" w:line="360" w:lineRule="auto"/>
      </w:pPr>
      <w:bookmarkStart w:id="160" w:name="_Toc241908521"/>
      <w:r>
        <w:t>12.5 The Cities of Paul's Mission</w:t>
      </w:r>
      <w:bookmarkEnd w:id="160"/>
    </w:p>
    <w:p w:rsidR="008E4B08" w:rsidRDefault="00C51EF0">
      <w:pPr>
        <w:pStyle w:val="Heading3"/>
        <w:keepNext/>
        <w:spacing w:before="120" w:after="60" w:line="360" w:lineRule="auto"/>
      </w:pPr>
      <w:r>
        <w:t>12.5.1 Corinth</w:t>
      </w:r>
    </w:p>
    <w:p w:rsidR="008E4B08" w:rsidRDefault="00C51EF0">
      <w:pPr>
        <w:spacing w:line="480" w:lineRule="auto"/>
        <w:jc w:val="both"/>
      </w:pPr>
      <w:r>
        <w:t xml:space="preserve">Corinth was destroyed by the Romans in 146 BC and </w:t>
      </w:r>
      <w:proofErr w:type="spellStart"/>
      <w:r>
        <w:t>refounded</w:t>
      </w:r>
      <w:proofErr w:type="spellEnd"/>
      <w:r>
        <w:t xml:space="preserve"> as a Roman colony by Julius Caesar in 44 BC. It became the capital of the province of Achaia and a wealthy trading city. American excavations since 1896 have uncovered much of the Roman city. Several discoveries relate to the New Testament:</w:t>
      </w:r>
    </w:p>
    <w:p w:rsidR="008E4B08" w:rsidRDefault="00C51EF0">
      <w:pPr>
        <w:pStyle w:val="ListParagraph"/>
        <w:numPr>
          <w:ilvl w:val="0"/>
          <w:numId w:val="2"/>
        </w:numPr>
        <w:spacing w:line="480" w:lineRule="auto"/>
        <w:jc w:val="both"/>
      </w:pPr>
      <w:r>
        <w:lastRenderedPageBreak/>
        <w:t xml:space="preserve">The </w:t>
      </w:r>
      <w:r>
        <w:rPr>
          <w:i/>
          <w:iCs/>
        </w:rPr>
        <w:t>bema</w:t>
      </w:r>
      <w:r>
        <w:t xml:space="preserve">, a raised speaker's platform in the city </w:t>
      </w:r>
      <w:proofErr w:type="spellStart"/>
      <w:r>
        <w:t>centre</w:t>
      </w:r>
      <w:proofErr w:type="spellEnd"/>
      <w:r>
        <w:t>, may be the "judgement seat" (</w:t>
      </w:r>
      <w:r>
        <w:rPr>
          <w:i/>
          <w:iCs/>
        </w:rPr>
        <w:t>bema</w:t>
      </w:r>
      <w:r>
        <w:t xml:space="preserve">) where Paul stood before </w:t>
      </w:r>
      <w:proofErr w:type="spellStart"/>
      <w:r>
        <w:t>Gallio</w:t>
      </w:r>
      <w:proofErr w:type="spellEnd"/>
      <w:r>
        <w:t xml:space="preserve"> (Acts 18:12).</w:t>
      </w:r>
    </w:p>
    <w:p w:rsidR="008E4B08" w:rsidRDefault="00C51EF0">
      <w:pPr>
        <w:pStyle w:val="ListParagraph"/>
        <w:numPr>
          <w:ilvl w:val="0"/>
          <w:numId w:val="2"/>
        </w:numPr>
        <w:spacing w:line="480" w:lineRule="auto"/>
        <w:jc w:val="both"/>
      </w:pPr>
      <w:r>
        <w:t xml:space="preserve">An inscription in a stone pavement states that "Erastus, in return for his </w:t>
      </w:r>
      <w:proofErr w:type="spellStart"/>
      <w:r>
        <w:t>aedileship</w:t>
      </w:r>
      <w:proofErr w:type="spellEnd"/>
      <w:r>
        <w:t>, laid this pavement at his own expense". Many scholars identify him with Erastus, "the city treasurer", who sends greetings in Romans 16:23, though this is debated because the titles may refer to different offices.</w:t>
      </w:r>
      <w:r>
        <w:rPr>
          <w:vertAlign w:val="superscript"/>
        </w:rPr>
        <w:t>93</w:t>
      </w:r>
    </w:p>
    <w:p w:rsidR="008E4B08" w:rsidRDefault="00C51EF0">
      <w:pPr>
        <w:pStyle w:val="ListParagraph"/>
        <w:numPr>
          <w:ilvl w:val="0"/>
          <w:numId w:val="2"/>
        </w:numPr>
        <w:spacing w:line="480" w:lineRule="auto"/>
        <w:jc w:val="both"/>
      </w:pPr>
      <w:r>
        <w:t>A broken stone inscription reading "[</w:t>
      </w:r>
      <w:proofErr w:type="spellStart"/>
      <w:r>
        <w:t>Syna</w:t>
      </w:r>
      <w:proofErr w:type="spellEnd"/>
      <w:proofErr w:type="gramStart"/>
      <w:r>
        <w:t>]</w:t>
      </w:r>
      <w:proofErr w:type="spellStart"/>
      <w:r>
        <w:t>gogue</w:t>
      </w:r>
      <w:proofErr w:type="spellEnd"/>
      <w:proofErr w:type="gramEnd"/>
      <w:r>
        <w:t xml:space="preserve"> of the </w:t>
      </w:r>
      <w:proofErr w:type="spellStart"/>
      <w:r>
        <w:t>Hebr</w:t>
      </w:r>
      <w:proofErr w:type="spellEnd"/>
      <w:r>
        <w:t>[</w:t>
      </w:r>
      <w:proofErr w:type="spellStart"/>
      <w:r>
        <w:t>ews</w:t>
      </w:r>
      <w:proofErr w:type="spellEnd"/>
      <w:r>
        <w:t>]" was found, though its date is uncertain.</w:t>
      </w:r>
    </w:p>
    <w:p w:rsidR="008E4B08" w:rsidRDefault="00C51EF0">
      <w:pPr>
        <w:pStyle w:val="ListParagraph"/>
        <w:numPr>
          <w:ilvl w:val="0"/>
          <w:numId w:val="2"/>
        </w:numPr>
        <w:spacing w:line="480" w:lineRule="auto"/>
        <w:jc w:val="both"/>
      </w:pPr>
      <w:r>
        <w:t xml:space="preserve">The meat market and many temples help us understand Paul's teaching on food offered to idols (1 </w:t>
      </w:r>
      <w:proofErr w:type="spellStart"/>
      <w:r>
        <w:t>Cor</w:t>
      </w:r>
      <w:proofErr w:type="spellEnd"/>
      <w:r>
        <w:t xml:space="preserve"> 8–10).</w:t>
      </w:r>
    </w:p>
    <w:p w:rsidR="008E4B08" w:rsidRDefault="00C51EF0">
      <w:pPr>
        <w:pStyle w:val="ListParagraph"/>
        <w:numPr>
          <w:ilvl w:val="0"/>
          <w:numId w:val="2"/>
        </w:numPr>
        <w:spacing w:line="480" w:lineRule="auto"/>
        <w:jc w:val="both"/>
      </w:pPr>
      <w:r>
        <w:t xml:space="preserve">The healing shrine of the god </w:t>
      </w:r>
      <w:proofErr w:type="spellStart"/>
      <w:r>
        <w:t>Asklepios</w:t>
      </w:r>
      <w:proofErr w:type="spellEnd"/>
      <w:r>
        <w:t xml:space="preserve"> contained clay models of healed body parts, which some scholars connect with Paul's picture of the church as a body with many parts (1 </w:t>
      </w:r>
      <w:proofErr w:type="spellStart"/>
      <w:r>
        <w:t>Cor</w:t>
      </w:r>
      <w:proofErr w:type="spellEnd"/>
      <w:r>
        <w:t xml:space="preserve"> 12).</w:t>
      </w:r>
    </w:p>
    <w:p w:rsidR="008E4B08" w:rsidRDefault="00C51EF0">
      <w:pPr>
        <w:spacing w:line="480" w:lineRule="auto"/>
        <w:ind w:firstLine="720"/>
        <w:jc w:val="both"/>
      </w:pPr>
      <w:r>
        <w:rPr>
          <w:b/>
          <w:bCs/>
        </w:rPr>
        <w:t>Example.</w:t>
      </w:r>
      <w:r>
        <w:t xml:space="preserve"> In many African towns, meat sold in the market may have come from animals sacrificed at a shrine or festival. Christians in Corinth faced the same question Paul addressed: may a believer eat such meat? Paul's answer, balancing freedom in Christ with love for the weaker brother, remains directly relevant in such settings.</w:t>
      </w:r>
    </w:p>
    <w:p w:rsidR="008E4B08" w:rsidRDefault="00C51EF0">
      <w:pPr>
        <w:pStyle w:val="Heading3"/>
        <w:keepNext/>
        <w:spacing w:before="120" w:after="60" w:line="360" w:lineRule="auto"/>
      </w:pPr>
      <w:r>
        <w:t>12.5.2 Ephesus</w:t>
      </w:r>
    </w:p>
    <w:p w:rsidR="008E4B08" w:rsidRDefault="00C51EF0">
      <w:pPr>
        <w:spacing w:line="480" w:lineRule="auto"/>
        <w:jc w:val="both"/>
      </w:pPr>
      <w:r>
        <w:t xml:space="preserve">Ephesus was the leading city of the province of Asia and one of the largest cities in the empire. Austrian excavations since 1895 have revealed its streets, theatre, market place, baths, houses and public buildings. The great theatre, which seated about 24,000 people, was the scene of the riot started by the silversmith Demetrius (Acts 19:23–41). The Temple of Artemis, one of the seven wonders of the ancient world, stood outside the city; only its foundations remain. Inscriptions confirm how important the worship of Artemis was to the city's identity and economy, and statues and small figures of Artemis help us understand the "silver shrines of </w:t>
      </w:r>
      <w:r>
        <w:lastRenderedPageBreak/>
        <w:t>Artemis" (Acts 19:24). Ancient writers speak of magical formulas known as the "Ephesian letters", which helps explain why the new believers burned magic books worth fifty thousand pieces of silver (Acts 19:19).</w:t>
      </w:r>
      <w:r>
        <w:rPr>
          <w:vertAlign w:val="superscript"/>
        </w:rPr>
        <w:t>94</w:t>
      </w:r>
    </w:p>
    <w:p w:rsidR="008E4B08" w:rsidRDefault="00C51EF0">
      <w:pPr>
        <w:spacing w:line="480" w:lineRule="auto"/>
        <w:ind w:firstLine="720"/>
        <w:jc w:val="both"/>
      </w:pPr>
      <w:r>
        <w:rPr>
          <w:b/>
          <w:bCs/>
        </w:rPr>
        <w:t>Example.</w:t>
      </w:r>
      <w:r>
        <w:t xml:space="preserve"> The riot at Ephesus was about money as much as religion. When people turned to Christ, the trade in idols suffered. Today, when people in African communities turn from charms and shrines, those who profit from such practices may also resist the gospel. The story of Ephesus shows that the gospel can challenge both spiritual and economic powers.</w:t>
      </w:r>
    </w:p>
    <w:p w:rsidR="008E4B08" w:rsidRDefault="00C51EF0">
      <w:pPr>
        <w:pStyle w:val="Heading3"/>
        <w:keepNext/>
        <w:spacing w:before="120" w:after="60" w:line="360" w:lineRule="auto"/>
      </w:pPr>
      <w:r>
        <w:t>12.5.3 Philippi, Athens and Rome</w:t>
      </w:r>
    </w:p>
    <w:p w:rsidR="008E4B08" w:rsidRDefault="00C51EF0">
      <w:pPr>
        <w:spacing w:line="480" w:lineRule="auto"/>
        <w:jc w:val="both"/>
      </w:pPr>
      <w:r>
        <w:t>Philippi, a Roman colony, has a forum, a prison traditionally linked with Paul and Silas (though this link is uncertain) and later churches. Athens preserves the Areopagus (Mars Hill), the market place and many altars. Ancient writers mention altars to "unknown gods", which illuminate Paul's speech in Acts 17:22–31. In Rome, the remains of the city, its Jewish community and the early Christian burial places help us understand Paul's letter to the Romans and the final chapter of Acts.</w:t>
      </w:r>
    </w:p>
    <w:p w:rsidR="008E4B08" w:rsidRDefault="00C51EF0">
      <w:pPr>
        <w:pStyle w:val="Heading2"/>
        <w:keepNext/>
        <w:spacing w:before="240" w:after="120" w:line="360" w:lineRule="auto"/>
      </w:pPr>
      <w:bookmarkStart w:id="161" w:name="_Toc241908522"/>
      <w:r>
        <w:t>12.6 The Seven Churches of Revelation</w:t>
      </w:r>
      <w:bookmarkEnd w:id="161"/>
    </w:p>
    <w:p w:rsidR="008E4B08" w:rsidRDefault="00C51EF0">
      <w:pPr>
        <w:spacing w:line="480" w:lineRule="auto"/>
        <w:jc w:val="both"/>
      </w:pPr>
      <w:r>
        <w:t xml:space="preserve">The seven cities addressed in Revelation 2–3 have all been explored by archaeologists. Colin </w:t>
      </w:r>
      <w:proofErr w:type="spellStart"/>
      <w:r>
        <w:t>Hemer</w:t>
      </w:r>
      <w:proofErr w:type="spellEnd"/>
      <w:r>
        <w:t xml:space="preserve"> showed that the letters contain references to local conditions</w:t>
      </w:r>
      <w:proofErr w:type="gramStart"/>
      <w:r>
        <w:t>:</w:t>
      </w:r>
      <w:r>
        <w:rPr>
          <w:vertAlign w:val="superscript"/>
        </w:rPr>
        <w:t>95</w:t>
      </w:r>
      <w:proofErr w:type="gramEnd"/>
    </w:p>
    <w:p w:rsidR="008E4B08" w:rsidRDefault="00C51EF0">
      <w:pPr>
        <w:pStyle w:val="ListParagraph"/>
        <w:numPr>
          <w:ilvl w:val="0"/>
          <w:numId w:val="2"/>
        </w:numPr>
        <w:spacing w:line="480" w:lineRule="auto"/>
        <w:jc w:val="both"/>
      </w:pPr>
      <w:r>
        <w:t xml:space="preserve">Pergamum, "where Satan's throne is" (Rev 2:13), was a </w:t>
      </w:r>
      <w:proofErr w:type="spellStart"/>
      <w:r>
        <w:t>centre</w:t>
      </w:r>
      <w:proofErr w:type="spellEnd"/>
      <w:r>
        <w:t xml:space="preserve"> of emperor worship and had a great altar of Zeus, now in a museum in Berlin.</w:t>
      </w:r>
    </w:p>
    <w:p w:rsidR="008E4B08" w:rsidRDefault="00C51EF0">
      <w:pPr>
        <w:pStyle w:val="ListParagraph"/>
        <w:numPr>
          <w:ilvl w:val="0"/>
          <w:numId w:val="2"/>
        </w:numPr>
        <w:spacing w:line="480" w:lineRule="auto"/>
        <w:jc w:val="both"/>
      </w:pPr>
      <w:r>
        <w:t>Sardis had a strong hilltop fortress that was nevertheless captured twice by surprise attack. The church there is warned to "wake up", or Christ will come "like a thief" (Rev 3:2–3).</w:t>
      </w:r>
    </w:p>
    <w:p w:rsidR="008E4B08" w:rsidRDefault="00C51EF0">
      <w:pPr>
        <w:pStyle w:val="ListParagraph"/>
        <w:numPr>
          <w:ilvl w:val="0"/>
          <w:numId w:val="2"/>
        </w:numPr>
        <w:spacing w:line="480" w:lineRule="auto"/>
        <w:jc w:val="both"/>
      </w:pPr>
      <w:r>
        <w:t xml:space="preserve">Laodicea was a rich banking and clothing city with a medical school known for an eye ointment. Its water came through a long pipe from hot springs and arrived lukewarm. </w:t>
      </w:r>
      <w:r>
        <w:lastRenderedPageBreak/>
        <w:t>The church is called "lukewarm" and is told to buy gold, white clothes and eye salve from Christ (Rev 3:15–18).</w:t>
      </w:r>
    </w:p>
    <w:p w:rsidR="008E4B08" w:rsidRDefault="00C51EF0">
      <w:pPr>
        <w:spacing w:line="480" w:lineRule="auto"/>
        <w:ind w:firstLine="720"/>
        <w:jc w:val="both"/>
      </w:pPr>
      <w:r>
        <w:t xml:space="preserve">Some of </w:t>
      </w:r>
      <w:proofErr w:type="spellStart"/>
      <w:r>
        <w:t>Hemer's</w:t>
      </w:r>
      <w:proofErr w:type="spellEnd"/>
      <w:r>
        <w:t xml:space="preserve"> interpretations have been questioned, but most scholars accept that the letters address the real conditions of these cities.</w:t>
      </w:r>
    </w:p>
    <w:p w:rsidR="008E4B08" w:rsidRDefault="00C51EF0">
      <w:pPr>
        <w:pStyle w:val="Heading2"/>
        <w:keepNext/>
        <w:spacing w:before="240" w:after="120" w:line="360" w:lineRule="auto"/>
      </w:pPr>
      <w:bookmarkStart w:id="162" w:name="_Toc241908523"/>
      <w:r>
        <w:t>12.7 Physical Remains of Early Christianity</w:t>
      </w:r>
      <w:bookmarkEnd w:id="162"/>
    </w:p>
    <w:p w:rsidR="008E4B08" w:rsidRDefault="00C51EF0">
      <w:pPr>
        <w:pStyle w:val="Heading3"/>
        <w:keepNext/>
        <w:spacing w:before="120" w:after="60" w:line="360" w:lineRule="auto"/>
      </w:pPr>
      <w:r>
        <w:t>12.7.1 House Churches</w:t>
      </w:r>
    </w:p>
    <w:p w:rsidR="008E4B08" w:rsidRDefault="00C51EF0">
      <w:pPr>
        <w:spacing w:line="480" w:lineRule="auto"/>
        <w:jc w:val="both"/>
      </w:pPr>
      <w:r>
        <w:t xml:space="preserve">The first Christians met in homes (Rom 16:5; 1 </w:t>
      </w:r>
      <w:proofErr w:type="spellStart"/>
      <w:r>
        <w:t>Cor</w:t>
      </w:r>
      <w:proofErr w:type="spellEnd"/>
      <w:r>
        <w:t xml:space="preserve"> 16:19; </w:t>
      </w:r>
      <w:proofErr w:type="spellStart"/>
      <w:r>
        <w:t>Phlm</w:t>
      </w:r>
      <w:proofErr w:type="spellEnd"/>
      <w:r>
        <w:t xml:space="preserve"> 2). The best-known archaeological example is the house church at Dura-</w:t>
      </w:r>
      <w:proofErr w:type="spellStart"/>
      <w:r>
        <w:t>Europos</w:t>
      </w:r>
      <w:proofErr w:type="spellEnd"/>
      <w:r>
        <w:t xml:space="preserve"> on the Euphrates River in Syria, adapted for Christian worship in about AD 240. It had a meeting room and a baptism room decorated with paintings of the Good Shepherd, the healing of the </w:t>
      </w:r>
      <w:proofErr w:type="spellStart"/>
      <w:r>
        <w:t>paralysed</w:t>
      </w:r>
      <w:proofErr w:type="spellEnd"/>
      <w:r>
        <w:t xml:space="preserve"> man, Peter walking on the water and the women at the tomb. At Megiddo, a prayer hall inside a Roman army camp contained a mosaic floor with inscriptions dedicating a table "to God Jesus Christ". Its excavators dated it to the third century, which would make it one of the oldest Christian prayer halls known.</w:t>
      </w:r>
    </w:p>
    <w:p w:rsidR="008E4B08" w:rsidRDefault="00C51EF0">
      <w:pPr>
        <w:spacing w:line="480" w:lineRule="auto"/>
        <w:ind w:firstLine="720"/>
        <w:jc w:val="both"/>
      </w:pPr>
      <w:r>
        <w:rPr>
          <w:b/>
          <w:bCs/>
        </w:rPr>
        <w:t>Example.</w:t>
      </w:r>
      <w:r>
        <w:t xml:space="preserve"> Many Nigerian churches began as small fellowships meeting in sitting rooms, school classrooms or under trees before they built larger buildings. The early Christians were the same. The church is first a community of believers, not a building.</w:t>
      </w:r>
    </w:p>
    <w:p w:rsidR="008E4B08" w:rsidRDefault="00C51EF0">
      <w:pPr>
        <w:pStyle w:val="Heading3"/>
        <w:keepNext/>
        <w:spacing w:before="120" w:after="60" w:line="360" w:lineRule="auto"/>
      </w:pPr>
      <w:r>
        <w:t>12.7.2 Burial Places and Symbols</w:t>
      </w:r>
    </w:p>
    <w:p w:rsidR="008E4B08" w:rsidRDefault="00C51EF0">
      <w:pPr>
        <w:spacing w:line="480" w:lineRule="auto"/>
        <w:jc w:val="both"/>
      </w:pPr>
      <w:r>
        <w:t xml:space="preserve">The catacombs of Rome, underground burial places used by Christians and Jews from the second century, contain inscriptions and paintings that express early Christian faith in the resurrection. Common symbols include the fish (the Greek word </w:t>
      </w:r>
      <w:proofErr w:type="spellStart"/>
      <w:r>
        <w:rPr>
          <w:i/>
          <w:iCs/>
        </w:rPr>
        <w:t>ichthys</w:t>
      </w:r>
      <w:proofErr w:type="spellEnd"/>
      <w:r>
        <w:t xml:space="preserve"> was used as an abbreviation for "Jesus Christ, Son of God, </w:t>
      </w:r>
      <w:proofErr w:type="spellStart"/>
      <w:proofErr w:type="gramStart"/>
      <w:r>
        <w:t>Saviour</w:t>
      </w:r>
      <w:proofErr w:type="spellEnd"/>
      <w:proofErr w:type="gramEnd"/>
      <w:r>
        <w:t xml:space="preserve">"), the anchor, the dove and the Good Shepherd. The </w:t>
      </w:r>
      <w:proofErr w:type="spellStart"/>
      <w:r>
        <w:t>Alexamenos</w:t>
      </w:r>
      <w:proofErr w:type="spellEnd"/>
      <w:r>
        <w:t xml:space="preserve"> graffito, a mocking drawing found in Rome, shows a man worshipping a crucified figure with a donkey's head, with the words "</w:t>
      </w:r>
      <w:proofErr w:type="spellStart"/>
      <w:r>
        <w:t>Alexamenos</w:t>
      </w:r>
      <w:proofErr w:type="spellEnd"/>
      <w:r>
        <w:t xml:space="preserve"> worships </w:t>
      </w:r>
      <w:r>
        <w:lastRenderedPageBreak/>
        <w:t xml:space="preserve">his god". It shows how pagans ridiculed Christians for worshipping a crucified Lord (compare 1 </w:t>
      </w:r>
      <w:proofErr w:type="spellStart"/>
      <w:r>
        <w:t>Cor</w:t>
      </w:r>
      <w:proofErr w:type="spellEnd"/>
      <w:r>
        <w:t xml:space="preserve"> 1:23).</w:t>
      </w:r>
    </w:p>
    <w:p w:rsidR="008E4B08" w:rsidRDefault="00C51EF0">
      <w:pPr>
        <w:pStyle w:val="Heading3"/>
        <w:keepNext/>
        <w:spacing w:before="120" w:after="60" w:line="360" w:lineRule="auto"/>
      </w:pPr>
      <w:r>
        <w:t>12.7.3 Early Manuscripts from Egypt</w:t>
      </w:r>
    </w:p>
    <w:p w:rsidR="008E4B08" w:rsidRDefault="00C51EF0">
      <w:pPr>
        <w:spacing w:line="480" w:lineRule="auto"/>
        <w:jc w:val="both"/>
      </w:pPr>
      <w:r>
        <w:t xml:space="preserve">Papyrus documents recovered from the ancient rubbish heaps of </w:t>
      </w:r>
      <w:proofErr w:type="spellStart"/>
      <w:r>
        <w:t>Oxyrhynchus</w:t>
      </w:r>
      <w:proofErr w:type="spellEnd"/>
      <w:r>
        <w:t xml:space="preserve"> in Egypt and from other places include some of the earliest manuscripts of the New Testament, such as the Chester Beatty and </w:t>
      </w:r>
      <w:proofErr w:type="spellStart"/>
      <w:r>
        <w:t>Bodmer</w:t>
      </w:r>
      <w:proofErr w:type="spellEnd"/>
      <w:r>
        <w:t xml:space="preserve"> papyri. A small fragment of John's Gospel known as P52, kept in Manchester, has often been dated to the early second century, though some scholars argue for a slightly later date. These manuscripts show that the New Testament writings circulated early and widely, including in Egypt, on the African continent.</w:t>
      </w:r>
    </w:p>
    <w:p w:rsidR="008E4B08" w:rsidRDefault="00C51EF0">
      <w:pPr>
        <w:pStyle w:val="Heading2"/>
        <w:keepNext/>
        <w:spacing w:before="240" w:after="120" w:line="360" w:lineRule="auto"/>
      </w:pPr>
      <w:bookmarkStart w:id="163" w:name="_Toc241908524"/>
      <w:r>
        <w:t>12.8 Summary</w:t>
      </w:r>
      <w:bookmarkEnd w:id="163"/>
    </w:p>
    <w:p w:rsidR="008E4B08" w:rsidRDefault="00C51EF0">
      <w:pPr>
        <w:spacing w:line="480" w:lineRule="auto"/>
        <w:jc w:val="both"/>
      </w:pPr>
      <w:r>
        <w:t xml:space="preserve">Archaeology has repeatedly confirmed the accuracy of Luke's references to Roman officials, local titles and conditions in the cities of the eastern Mediterranean. The </w:t>
      </w:r>
      <w:proofErr w:type="spellStart"/>
      <w:r>
        <w:t>Gallio</w:t>
      </w:r>
      <w:proofErr w:type="spellEnd"/>
      <w:r>
        <w:t xml:space="preserve"> inscription fixes the date of Paul's ministry in Corinth. The excavated cities of Corinth and Ephesus help us understand Paul's letters and the story of Acts, while the seven cities of Revelation show the local relevance of John's messages. The remains of early Christianity, from house churches to catacombs and papyri, show how the first believers worshipped, buried their dead and preserved their Scriptures.</w:t>
      </w:r>
    </w:p>
    <w:p w:rsidR="008E4B08" w:rsidRDefault="00C51EF0">
      <w:pPr>
        <w:pStyle w:val="Heading2"/>
        <w:keepNext/>
        <w:spacing w:before="240" w:after="120" w:line="360" w:lineRule="auto"/>
      </w:pPr>
      <w:bookmarkStart w:id="164" w:name="_Toc241908525"/>
      <w:r>
        <w:t>12.9 Life Application</w:t>
      </w:r>
      <w:bookmarkEnd w:id="164"/>
    </w:p>
    <w:p w:rsidR="008E4B08" w:rsidRDefault="00C51EF0">
      <w:pPr>
        <w:spacing w:line="480" w:lineRule="auto"/>
        <w:jc w:val="both"/>
      </w:pPr>
      <w:r>
        <w:t>The world of Acts and the early church shows how the gospel advanced through real cities, institutions and people. It offers a pattern for mission today.</w:t>
      </w:r>
    </w:p>
    <w:p w:rsidR="008E4B08" w:rsidRDefault="00C51EF0">
      <w:pPr>
        <w:pStyle w:val="ListParagraph"/>
        <w:numPr>
          <w:ilvl w:val="0"/>
          <w:numId w:val="2"/>
        </w:numPr>
        <w:spacing w:line="480" w:lineRule="auto"/>
        <w:jc w:val="both"/>
      </w:pPr>
      <w:r>
        <w:rPr>
          <w:b/>
          <w:bCs/>
        </w:rPr>
        <w:t>The gospel engages public life.</w:t>
      </w:r>
      <w:r>
        <w:t xml:space="preserve"> Paul stood before governors, magistrates and philosophers. Christians today should engage courts, universities and governments with wisdom and courage.</w:t>
      </w:r>
    </w:p>
    <w:p w:rsidR="008E4B08" w:rsidRDefault="00C51EF0">
      <w:pPr>
        <w:pStyle w:val="ListParagraph"/>
        <w:numPr>
          <w:ilvl w:val="0"/>
          <w:numId w:val="2"/>
        </w:numPr>
        <w:spacing w:line="480" w:lineRule="auto"/>
        <w:jc w:val="both"/>
      </w:pPr>
      <w:r>
        <w:rPr>
          <w:b/>
          <w:bCs/>
        </w:rPr>
        <w:lastRenderedPageBreak/>
        <w:t xml:space="preserve">Accuracy </w:t>
      </w:r>
      <w:proofErr w:type="spellStart"/>
      <w:r>
        <w:rPr>
          <w:b/>
          <w:bCs/>
        </w:rPr>
        <w:t>honours</w:t>
      </w:r>
      <w:proofErr w:type="spellEnd"/>
      <w:r>
        <w:rPr>
          <w:b/>
          <w:bCs/>
        </w:rPr>
        <w:t xml:space="preserve"> the truth.</w:t>
      </w:r>
      <w:r>
        <w:t xml:space="preserve"> Luke's careful accuracy in names and titles makes his testimony credible. Christian witnesses and writers should be careful and accurate in what they report.</w:t>
      </w:r>
    </w:p>
    <w:p w:rsidR="008E4B08" w:rsidRDefault="00C51EF0">
      <w:pPr>
        <w:pStyle w:val="ListParagraph"/>
        <w:numPr>
          <w:ilvl w:val="0"/>
          <w:numId w:val="2"/>
        </w:numPr>
        <w:spacing w:line="480" w:lineRule="auto"/>
        <w:jc w:val="both"/>
      </w:pPr>
      <w:r>
        <w:rPr>
          <w:b/>
          <w:bCs/>
        </w:rPr>
        <w:t>The gospel challenges idolatry and greed.</w:t>
      </w:r>
      <w:r>
        <w:t xml:space="preserve"> At Ephesus, the gospel threatened a trade built on idolatry (Acts 19:23–27). Faithful witness may cost believers and businesses something.</w:t>
      </w:r>
    </w:p>
    <w:p w:rsidR="008E4B08" w:rsidRDefault="00C51EF0">
      <w:pPr>
        <w:pStyle w:val="ListParagraph"/>
        <w:numPr>
          <w:ilvl w:val="0"/>
          <w:numId w:val="2"/>
        </w:numPr>
        <w:spacing w:line="480" w:lineRule="auto"/>
        <w:jc w:val="both"/>
      </w:pPr>
      <w:r>
        <w:rPr>
          <w:b/>
          <w:bCs/>
        </w:rPr>
        <w:t>Africa was part of the story from the beginning.</w:t>
      </w:r>
      <w:r>
        <w:t xml:space="preserve"> From the Ethiopian official to the papyri of Egypt, Africa received the gospel early. African believers are not latecomers to the faith but heirs of an ancient Christian heritage.</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 xml:space="preserve">Lord of the church, thank you for the faithful witnesses who carried the gospel across the world. Give me courage to speak of Christ in public places, care in reporting the truth and willingness to pay the cost of faithfulness. Help me to </w:t>
      </w:r>
      <w:proofErr w:type="spellStart"/>
      <w:r>
        <w:rPr>
          <w:i/>
          <w:iCs/>
        </w:rPr>
        <w:t>honour</w:t>
      </w:r>
      <w:proofErr w:type="spellEnd"/>
      <w:r>
        <w:rPr>
          <w:i/>
          <w:iCs/>
        </w:rPr>
        <w:t xml:space="preserve"> the African heritage of faith you have given us. In Jesus' name. Amen.</w:t>
      </w:r>
    </w:p>
    <w:p w:rsidR="008E4B08" w:rsidRDefault="00C51EF0">
      <w:pPr>
        <w:pStyle w:val="Heading2"/>
        <w:keepNext/>
        <w:spacing w:before="240" w:after="120" w:line="360" w:lineRule="auto"/>
      </w:pPr>
      <w:bookmarkStart w:id="165" w:name="_Toc241908526"/>
      <w:r>
        <w:t>12.10 Discussion Questions</w:t>
      </w:r>
      <w:bookmarkEnd w:id="165"/>
    </w:p>
    <w:p w:rsidR="008E4B08" w:rsidRDefault="00C51EF0">
      <w:pPr>
        <w:tabs>
          <w:tab w:val="left" w:pos="720"/>
        </w:tabs>
        <w:spacing w:line="480" w:lineRule="auto"/>
        <w:ind w:left="720" w:hanging="360"/>
        <w:jc w:val="both"/>
      </w:pPr>
      <w:r>
        <w:t>1.</w:t>
      </w:r>
      <w:r>
        <w:tab/>
        <w:t xml:space="preserve">Assess the contribution of William Ramsay and Colin </w:t>
      </w:r>
      <w:proofErr w:type="spellStart"/>
      <w:r>
        <w:t>Hemer</w:t>
      </w:r>
      <w:proofErr w:type="spellEnd"/>
      <w:r>
        <w:t xml:space="preserve"> to the debate on the historical reliability of Acts.</w:t>
      </w:r>
    </w:p>
    <w:p w:rsidR="008E4B08" w:rsidRDefault="00C51EF0">
      <w:pPr>
        <w:tabs>
          <w:tab w:val="left" w:pos="720"/>
        </w:tabs>
        <w:spacing w:line="480" w:lineRule="auto"/>
        <w:ind w:left="720" w:hanging="360"/>
        <w:jc w:val="both"/>
      </w:pPr>
      <w:r>
        <w:t>2.</w:t>
      </w:r>
      <w:r>
        <w:tab/>
        <w:t xml:space="preserve">Why is the </w:t>
      </w:r>
      <w:proofErr w:type="spellStart"/>
      <w:r>
        <w:t>Gallio</w:t>
      </w:r>
      <w:proofErr w:type="spellEnd"/>
      <w:r>
        <w:t xml:space="preserve"> inscription so important for dating the life of Paul?</w:t>
      </w:r>
    </w:p>
    <w:p w:rsidR="008E4B08" w:rsidRDefault="00C51EF0">
      <w:pPr>
        <w:tabs>
          <w:tab w:val="left" w:pos="720"/>
        </w:tabs>
        <w:spacing w:line="480" w:lineRule="auto"/>
        <w:ind w:left="720" w:hanging="360"/>
        <w:jc w:val="both"/>
      </w:pPr>
      <w:r>
        <w:t>3.</w:t>
      </w:r>
      <w:r>
        <w:tab/>
        <w:t>How does the archaeology of Corinth help us understand Paul's letters to the Corinthian church? Apply your answer to an African setting.</w:t>
      </w:r>
    </w:p>
    <w:p w:rsidR="008E4B08" w:rsidRDefault="00C51EF0">
      <w:pPr>
        <w:tabs>
          <w:tab w:val="left" w:pos="720"/>
        </w:tabs>
        <w:spacing w:line="480" w:lineRule="auto"/>
        <w:ind w:left="720" w:hanging="360"/>
        <w:jc w:val="both"/>
      </w:pPr>
      <w:r>
        <w:t>4.</w:t>
      </w:r>
      <w:r>
        <w:tab/>
        <w:t>Discuss the importance of the early Christian papyri from Egypt for the history of the New Testament text and for African Christianity.</w:t>
      </w:r>
    </w:p>
    <w:p w:rsidR="008E4B08" w:rsidRDefault="00C51EF0">
      <w:pPr>
        <w:pStyle w:val="Heading2"/>
        <w:keepNext/>
        <w:spacing w:before="240" w:after="120" w:line="360" w:lineRule="auto"/>
      </w:pPr>
      <w:bookmarkStart w:id="166" w:name="_Toc241908527"/>
      <w:r>
        <w:t>12.11 Further Reading</w:t>
      </w:r>
      <w:bookmarkEnd w:id="166"/>
    </w:p>
    <w:p w:rsidR="008E4B08" w:rsidRDefault="00C51EF0">
      <w:pPr>
        <w:spacing w:after="160"/>
        <w:ind w:left="720" w:hanging="720"/>
      </w:pPr>
      <w:proofErr w:type="spellStart"/>
      <w:r>
        <w:t>Fant</w:t>
      </w:r>
      <w:proofErr w:type="spellEnd"/>
      <w:r>
        <w:t xml:space="preserve">, Clyde E., and Mitchell G. Reddish. </w:t>
      </w:r>
      <w:r>
        <w:rPr>
          <w:i/>
          <w:iCs/>
        </w:rPr>
        <w:t>A Guide to Biblical Sites in Greece and Turkey</w:t>
      </w:r>
      <w:r>
        <w:t>. New York: Oxford University Press, 2003.</w:t>
      </w:r>
    </w:p>
    <w:p w:rsidR="008E4B08" w:rsidRDefault="00C51EF0">
      <w:pPr>
        <w:spacing w:after="160"/>
        <w:ind w:left="720" w:hanging="720"/>
      </w:pPr>
      <w:proofErr w:type="spellStart"/>
      <w:r>
        <w:lastRenderedPageBreak/>
        <w:t>Hemer</w:t>
      </w:r>
      <w:proofErr w:type="spellEnd"/>
      <w:r>
        <w:t xml:space="preserve">, Colin J. </w:t>
      </w:r>
      <w:r>
        <w:rPr>
          <w:i/>
          <w:iCs/>
        </w:rPr>
        <w:t>The Book of Acts in the Setting of Hellenistic History</w:t>
      </w:r>
      <w:r>
        <w:t xml:space="preserve">. </w:t>
      </w:r>
      <w:proofErr w:type="spellStart"/>
      <w:r>
        <w:t>Tübingen</w:t>
      </w:r>
      <w:proofErr w:type="spellEnd"/>
      <w:r>
        <w:t xml:space="preserve">: Mohr </w:t>
      </w:r>
      <w:proofErr w:type="spellStart"/>
      <w:r>
        <w:t>Siebeck</w:t>
      </w:r>
      <w:proofErr w:type="spellEnd"/>
      <w:r>
        <w:t>, 1989.</w:t>
      </w:r>
    </w:p>
    <w:p w:rsidR="008E4B08" w:rsidRDefault="00C51EF0">
      <w:pPr>
        <w:spacing w:after="160"/>
        <w:ind w:left="720" w:hanging="720"/>
      </w:pPr>
      <w:proofErr w:type="spellStart"/>
      <w:r>
        <w:t>McRay</w:t>
      </w:r>
      <w:proofErr w:type="spellEnd"/>
      <w:r>
        <w:t xml:space="preserve">, John. </w:t>
      </w:r>
      <w:r>
        <w:rPr>
          <w:i/>
          <w:iCs/>
        </w:rPr>
        <w:t>Archaeology and the New Testament</w:t>
      </w:r>
      <w:r>
        <w:t>. Grand Rapids: Baker, 1991.</w:t>
      </w:r>
    </w:p>
    <w:p w:rsidR="008E4B08" w:rsidRDefault="00C51EF0">
      <w:pPr>
        <w:spacing w:after="160"/>
        <w:ind w:left="720" w:hanging="720"/>
      </w:pPr>
      <w:r>
        <w:t xml:space="preserve">Murphy-O'Connor, Jerome. </w:t>
      </w:r>
      <w:r>
        <w:rPr>
          <w:i/>
          <w:iCs/>
        </w:rPr>
        <w:t>St. Paul's Corinth: Texts and Archaeology</w:t>
      </w:r>
      <w:r>
        <w:t>. 3rd ed. Collegeville, MN: Liturgical Press, 2002.</w:t>
      </w:r>
    </w:p>
    <w:p w:rsidR="008E4B08" w:rsidRDefault="00C51EF0">
      <w:pPr>
        <w:pStyle w:val="Heading1"/>
        <w:pageBreakBefore/>
        <w:spacing w:after="360" w:line="360" w:lineRule="auto"/>
        <w:jc w:val="center"/>
      </w:pPr>
      <w:bookmarkStart w:id="167" w:name="_Toc241908528"/>
      <w:r>
        <w:lastRenderedPageBreak/>
        <w:t>UNIT THIRTEEN: ETHICS, FORGERIES AND THE ANTIQUITIES TRADE</w:t>
      </w:r>
      <w:bookmarkEnd w:id="167"/>
    </w:p>
    <w:p w:rsidR="008E4B08" w:rsidRDefault="00C51EF0">
      <w:pPr>
        <w:pStyle w:val="Heading2"/>
        <w:keepNext/>
        <w:spacing w:before="240" w:after="120" w:line="360" w:lineRule="auto"/>
      </w:pPr>
      <w:bookmarkStart w:id="168" w:name="_Toc241908529"/>
      <w:r>
        <w:t>13.1 Introduction</w:t>
      </w:r>
      <w:bookmarkEnd w:id="168"/>
    </w:p>
    <w:p w:rsidR="008E4B08" w:rsidRDefault="00C51EF0">
      <w:pPr>
        <w:spacing w:line="480" w:lineRule="auto"/>
        <w:jc w:val="both"/>
      </w:pPr>
      <w:r>
        <w:t>Biblical archaeology is not only an academic subject. It also has moral and political consequences. Ancient objects are bought and sold, sites are looted, fakes are made and sold to collectors and museums, and the past is used to support competing claims to land and identity. Christian scholars and church leaders are not neutral in this situation. In recent decades some of the largest buyers of biblical antiquities have been Christian collectors and institutions, and some of the most notorious forgeries were made for the Christian market. This unit examines the ethical questions that every student of biblical archaeology must face.</w:t>
      </w:r>
    </w:p>
    <w:p w:rsidR="008E4B08" w:rsidRDefault="00C51EF0">
      <w:pPr>
        <w:pStyle w:val="Heading2"/>
        <w:keepNext/>
        <w:spacing w:before="240" w:after="120" w:line="360" w:lineRule="auto"/>
      </w:pPr>
      <w:bookmarkStart w:id="169" w:name="_Toc241908530"/>
      <w:r>
        <w:t>13.2 Learning Objectives</w:t>
      </w:r>
      <w:bookmarkEnd w:id="169"/>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 xml:space="preserve">explain why the </w:t>
      </w:r>
      <w:proofErr w:type="spellStart"/>
      <w:r>
        <w:t>findspot</w:t>
      </w:r>
      <w:proofErr w:type="spellEnd"/>
      <w:r>
        <w:t xml:space="preserve"> and history of an object matter;</w:t>
      </w:r>
    </w:p>
    <w:p w:rsidR="008E4B08" w:rsidRDefault="00C51EF0">
      <w:pPr>
        <w:pStyle w:val="ListParagraph"/>
        <w:numPr>
          <w:ilvl w:val="0"/>
          <w:numId w:val="2"/>
        </w:numPr>
        <w:spacing w:line="480" w:lineRule="auto"/>
        <w:jc w:val="both"/>
      </w:pPr>
      <w:r>
        <w:t>describe the problem of looting and the trade in antiquities;</w:t>
      </w:r>
    </w:p>
    <w:p w:rsidR="008E4B08" w:rsidRDefault="00C51EF0">
      <w:pPr>
        <w:pStyle w:val="ListParagraph"/>
        <w:numPr>
          <w:ilvl w:val="0"/>
          <w:numId w:val="2"/>
        </w:numPr>
        <w:spacing w:line="480" w:lineRule="auto"/>
        <w:jc w:val="both"/>
      </w:pPr>
      <w:r>
        <w:t>discuss major cases of forgery related to biblical archaeology; and</w:t>
      </w:r>
    </w:p>
    <w:p w:rsidR="008E4B08" w:rsidRDefault="00C51EF0">
      <w:pPr>
        <w:pStyle w:val="ListParagraph"/>
        <w:numPr>
          <w:ilvl w:val="0"/>
          <w:numId w:val="2"/>
        </w:numPr>
        <w:spacing w:line="480" w:lineRule="auto"/>
        <w:jc w:val="both"/>
      </w:pPr>
      <w:proofErr w:type="gramStart"/>
      <w:r>
        <w:t>state</w:t>
      </w:r>
      <w:proofErr w:type="gramEnd"/>
      <w:r>
        <w:t xml:space="preserve"> ethical principles for scholars, churches and collectors.</w:t>
      </w:r>
    </w:p>
    <w:p w:rsidR="008E4B08" w:rsidRDefault="00C51EF0">
      <w:pPr>
        <w:pStyle w:val="Heading2"/>
        <w:keepNext/>
        <w:spacing w:before="240" w:after="120" w:line="360" w:lineRule="auto"/>
      </w:pPr>
      <w:bookmarkStart w:id="170" w:name="_Toc241908531"/>
      <w:r>
        <w:t>13.3 Context and Provenance</w:t>
      </w:r>
      <w:bookmarkEnd w:id="170"/>
    </w:p>
    <w:p w:rsidR="008E4B08" w:rsidRDefault="00C51EF0">
      <w:pPr>
        <w:spacing w:line="480" w:lineRule="auto"/>
        <w:jc w:val="both"/>
      </w:pPr>
      <w:r>
        <w:t xml:space="preserve">The value of an ancient object for knowledge depends mainly on its context. An object found in a recorded layer of a proper excavation can be dated by the objects around it and understood in its setting. The same object, if dug up by looters and sold, loses most of this information. Archaeologists use two related terms. </w:t>
      </w:r>
      <w:r>
        <w:rPr>
          <w:i/>
          <w:iCs/>
        </w:rPr>
        <w:t>Provenience</w:t>
      </w:r>
      <w:r>
        <w:t xml:space="preserve"> means the exact place where an object was found. </w:t>
      </w:r>
      <w:r>
        <w:rPr>
          <w:i/>
          <w:iCs/>
        </w:rPr>
        <w:t>Provenance</w:t>
      </w:r>
      <w:r>
        <w:t xml:space="preserve"> means the full history of its ownership since it was found. An object with no known </w:t>
      </w:r>
      <w:proofErr w:type="spellStart"/>
      <w:r>
        <w:t>findspot</w:t>
      </w:r>
      <w:proofErr w:type="spellEnd"/>
      <w:r>
        <w:t xml:space="preserve"> and an unclear history is called "</w:t>
      </w:r>
      <w:proofErr w:type="spellStart"/>
      <w:r>
        <w:t>unprovenanced</w:t>
      </w:r>
      <w:proofErr w:type="spellEnd"/>
      <w:r>
        <w:t>".</w:t>
      </w:r>
    </w:p>
    <w:p w:rsidR="008E4B08" w:rsidRDefault="00C51EF0">
      <w:pPr>
        <w:spacing w:line="480" w:lineRule="auto"/>
        <w:ind w:firstLine="720"/>
        <w:jc w:val="both"/>
      </w:pPr>
      <w:proofErr w:type="spellStart"/>
      <w:r>
        <w:lastRenderedPageBreak/>
        <w:t>Unprovenanced</w:t>
      </w:r>
      <w:proofErr w:type="spellEnd"/>
      <w:r>
        <w:t xml:space="preserve"> objects cause two problems. The first is a problem of knowledge: without context, an object tells us much less, and it may be impossible to prove that it is genuine. The second is a problem of ethics: the market for such objects encourages people to loot ancient sites, destroying the very contexts that give archaeology its meaning.</w:t>
      </w:r>
    </w:p>
    <w:p w:rsidR="008E4B08" w:rsidRDefault="00C51EF0">
      <w:pPr>
        <w:spacing w:line="480" w:lineRule="auto"/>
        <w:ind w:firstLine="720"/>
        <w:jc w:val="both"/>
      </w:pPr>
      <w:r>
        <w:rPr>
          <w:b/>
          <w:bCs/>
        </w:rPr>
        <w:t>Example.</w:t>
      </w:r>
      <w:r>
        <w:t xml:space="preserve"> A doctor who receives a blood sample with no name, no date and no information about the patient can learn very little from it, and he cannot be sure it has not been tampered with. An ancient object without a </w:t>
      </w:r>
      <w:proofErr w:type="spellStart"/>
      <w:r>
        <w:t>findspot</w:t>
      </w:r>
      <w:proofErr w:type="spellEnd"/>
      <w:r>
        <w:t xml:space="preserve"> is like that blood sample. It may be interesting, but it cannot be trusted or fully understood.</w:t>
      </w:r>
    </w:p>
    <w:p w:rsidR="008E4B08" w:rsidRDefault="00C51EF0">
      <w:pPr>
        <w:pStyle w:val="Heading2"/>
        <w:keepNext/>
        <w:spacing w:before="240" w:after="120" w:line="360" w:lineRule="auto"/>
      </w:pPr>
      <w:bookmarkStart w:id="171" w:name="_Toc241908532"/>
      <w:r>
        <w:t>13.4 Looting and the Antiquities Trade</w:t>
      </w:r>
      <w:bookmarkEnd w:id="171"/>
    </w:p>
    <w:p w:rsidR="008E4B08" w:rsidRDefault="00C51EF0">
      <w:pPr>
        <w:spacing w:line="480" w:lineRule="auto"/>
        <w:jc w:val="both"/>
      </w:pPr>
      <w:r>
        <w:t>Looting of ancient sites has a long history, but it has increased greatly in modern times. It is driven by demand from collectors and made worse by poverty, war and weak law enforcement. In the lands of the Bible, looting has been especially severe in Iraq and Syria during recent wars, in Egypt after 2011, and in parts of Israel, the West Bank and Jordan. Satellite photographs show thousands of looters' holes at major sites. Ancient cemeteries are particularly at risk.</w:t>
      </w:r>
    </w:p>
    <w:p w:rsidR="008E4B08" w:rsidRDefault="00C51EF0">
      <w:pPr>
        <w:spacing w:line="480" w:lineRule="auto"/>
        <w:ind w:firstLine="720"/>
        <w:jc w:val="both"/>
      </w:pPr>
      <w:r>
        <w:t>International law tries to control this trade. The 1970 UNESCO Convention on the illegal import, export and transfer of cultural property is the main international agreement, and many countries have laws governing the export of antiquities. Many universities, museums and professional bodies now refuse to buy, publish or authenticate objects that cannot be shown to have left their country of origin legally before 1970.</w:t>
      </w:r>
    </w:p>
    <w:p w:rsidR="008E4B08" w:rsidRDefault="00C51EF0">
      <w:pPr>
        <w:spacing w:line="480" w:lineRule="auto"/>
        <w:ind w:firstLine="720"/>
        <w:jc w:val="both"/>
      </w:pPr>
      <w:r>
        <w:t xml:space="preserve">Nigerian students will </w:t>
      </w:r>
      <w:proofErr w:type="spellStart"/>
      <w:r>
        <w:t>recognise</w:t>
      </w:r>
      <w:proofErr w:type="spellEnd"/>
      <w:r>
        <w:t xml:space="preserve"> this problem from their own history. British soldiers looted the Benin Bronzes in 1897, and </w:t>
      </w:r>
      <w:proofErr w:type="spellStart"/>
      <w:r>
        <w:t>Nok</w:t>
      </w:r>
      <w:proofErr w:type="spellEnd"/>
      <w:r>
        <w:t xml:space="preserve"> </w:t>
      </w:r>
      <w:proofErr w:type="spellStart"/>
      <w:r>
        <w:t>terracottas</w:t>
      </w:r>
      <w:proofErr w:type="spellEnd"/>
      <w:r>
        <w:t xml:space="preserve"> and other Nigerian antiquities continue to be smuggled abroad. The removal of cultural heritage harms both knowledge and the dignity of a people. The recent return of some Benin Bronzes from European and American museums shows that attitudes are changing.</w:t>
      </w:r>
    </w:p>
    <w:p w:rsidR="008E4B08" w:rsidRDefault="00C51EF0">
      <w:pPr>
        <w:pStyle w:val="Heading2"/>
        <w:keepNext/>
        <w:spacing w:before="240" w:after="120" w:line="360" w:lineRule="auto"/>
      </w:pPr>
      <w:bookmarkStart w:id="172" w:name="_Toc241908533"/>
      <w:r>
        <w:lastRenderedPageBreak/>
        <w:t>13.5 Major Cases of Forgery</w:t>
      </w:r>
      <w:bookmarkEnd w:id="172"/>
    </w:p>
    <w:p w:rsidR="008E4B08" w:rsidRDefault="00C51EF0">
      <w:pPr>
        <w:pStyle w:val="Heading3"/>
        <w:keepNext/>
        <w:spacing w:before="120" w:after="60" w:line="360" w:lineRule="auto"/>
      </w:pPr>
      <w:r>
        <w:t xml:space="preserve">13.5.1 The </w:t>
      </w:r>
      <w:proofErr w:type="spellStart"/>
      <w:r>
        <w:t>Shapira</w:t>
      </w:r>
      <w:proofErr w:type="spellEnd"/>
      <w:r>
        <w:t xml:space="preserve"> Manuscripts</w:t>
      </w:r>
    </w:p>
    <w:p w:rsidR="008E4B08" w:rsidRDefault="00C51EF0">
      <w:pPr>
        <w:spacing w:line="480" w:lineRule="auto"/>
        <w:jc w:val="both"/>
      </w:pPr>
      <w:r>
        <w:t xml:space="preserve">In 1883 a Jerusalem antiquities dealer named Moses Wilhelm </w:t>
      </w:r>
      <w:proofErr w:type="spellStart"/>
      <w:r>
        <w:t>Shapira</w:t>
      </w:r>
      <w:proofErr w:type="spellEnd"/>
      <w:r>
        <w:t xml:space="preserve"> offered the British Museum strips of leather that he claimed contained an ancient version of Deuteronomy. Scholars, especially Charles Clermont-</w:t>
      </w:r>
      <w:proofErr w:type="spellStart"/>
      <w:r>
        <w:t>Ganneau</w:t>
      </w:r>
      <w:proofErr w:type="spellEnd"/>
      <w:r>
        <w:t xml:space="preserve">, declared them forgeries, and </w:t>
      </w:r>
      <w:proofErr w:type="spellStart"/>
      <w:r>
        <w:t>Shapira</w:t>
      </w:r>
      <w:proofErr w:type="spellEnd"/>
      <w:r>
        <w:t xml:space="preserve"> took his own life the following year. </w:t>
      </w:r>
      <w:proofErr w:type="spellStart"/>
      <w:r>
        <w:t>Shapira</w:t>
      </w:r>
      <w:proofErr w:type="spellEnd"/>
      <w:r>
        <w:t xml:space="preserve"> had earlier sold the Berlin museum a large collection of fake Moabite pottery. The manuscripts later disappeared, and in recent years a few scholars have argued, against the majority, that they may have been genuine.</w:t>
      </w:r>
    </w:p>
    <w:p w:rsidR="008E4B08" w:rsidRDefault="00C51EF0">
      <w:pPr>
        <w:pStyle w:val="Heading3"/>
        <w:keepNext/>
        <w:spacing w:before="120" w:after="60" w:line="360" w:lineRule="auto"/>
      </w:pPr>
      <w:r>
        <w:t>13.5.2 The James Ossuary</w:t>
      </w:r>
    </w:p>
    <w:p w:rsidR="008E4B08" w:rsidRDefault="00C51EF0">
      <w:pPr>
        <w:spacing w:line="480" w:lineRule="auto"/>
        <w:jc w:val="both"/>
      </w:pPr>
      <w:r>
        <w:t xml:space="preserve">In 2002 a stone bone box inscribed in Aramaic "James, son of Joseph, brother of Jesus" was announced to the world as the earliest archaeological evidence for Jesus. The French scholar André </w:t>
      </w:r>
      <w:proofErr w:type="spellStart"/>
      <w:r>
        <w:t>Lemaire</w:t>
      </w:r>
      <w:proofErr w:type="spellEnd"/>
      <w:r>
        <w:t xml:space="preserve"> published the inscription and argued that it was genuine.</w:t>
      </w:r>
      <w:r>
        <w:rPr>
          <w:vertAlign w:val="superscript"/>
        </w:rPr>
        <w:t>96</w:t>
      </w:r>
      <w:r>
        <w:t xml:space="preserve"> </w:t>
      </w:r>
      <w:proofErr w:type="gramStart"/>
      <w:r>
        <w:t>The</w:t>
      </w:r>
      <w:proofErr w:type="gramEnd"/>
      <w:r>
        <w:t xml:space="preserve"> box had no known </w:t>
      </w:r>
      <w:proofErr w:type="spellStart"/>
      <w:r>
        <w:t>findspot</w:t>
      </w:r>
      <w:proofErr w:type="spellEnd"/>
      <w:r>
        <w:t xml:space="preserve"> and belonged to a collector, </w:t>
      </w:r>
      <w:proofErr w:type="spellStart"/>
      <w:r>
        <w:t>Oded</w:t>
      </w:r>
      <w:proofErr w:type="spellEnd"/>
      <w:r>
        <w:t xml:space="preserve"> Golan. In 2003 a committee of the Israel Antiquities Authority concluded that the inscription, or at least its second half, was a modern forgery. Golan and others were charged with forgery in a trial that lasted several years. In 2012 the judge found Golan not guilty of forgery because the case had not been proved, but he also said that the court had not proved the inscription genuine. The box itself is ancient. The inscription remains disputed, and many scholars regard at least the words "brother of Jesus" as suspect. The case shows how difficult it is to establish whether an </w:t>
      </w:r>
      <w:proofErr w:type="spellStart"/>
      <w:r>
        <w:t>unprovenanced</w:t>
      </w:r>
      <w:proofErr w:type="spellEnd"/>
      <w:r>
        <w:t xml:space="preserve"> inscription is genuine.</w:t>
      </w:r>
    </w:p>
    <w:p w:rsidR="008E4B08" w:rsidRDefault="00C51EF0">
      <w:pPr>
        <w:pStyle w:val="Heading3"/>
        <w:keepNext/>
        <w:spacing w:before="120" w:after="60" w:line="360" w:lineRule="auto"/>
      </w:pPr>
      <w:r>
        <w:t xml:space="preserve">13.5.3 The </w:t>
      </w:r>
      <w:proofErr w:type="spellStart"/>
      <w:r>
        <w:t>Jehoash</w:t>
      </w:r>
      <w:proofErr w:type="spellEnd"/>
      <w:r>
        <w:t xml:space="preserve"> Inscription</w:t>
      </w:r>
    </w:p>
    <w:p w:rsidR="008E4B08" w:rsidRDefault="00C51EF0">
      <w:pPr>
        <w:spacing w:line="480" w:lineRule="auto"/>
        <w:jc w:val="both"/>
      </w:pPr>
      <w:r>
        <w:t xml:space="preserve">At about the same time, a black stone tablet appeared on the market with a Hebrew inscription in the name of King </w:t>
      </w:r>
      <w:proofErr w:type="spellStart"/>
      <w:r>
        <w:t>Jehoash</w:t>
      </w:r>
      <w:proofErr w:type="spellEnd"/>
      <w:r>
        <w:t xml:space="preserve"> of Judah, describing repairs to the temple in words similar to 2 Kings 12. If genuine, it would have been the first royal inscription of a king of Judah. The Israel </w:t>
      </w:r>
      <w:r>
        <w:lastRenderedPageBreak/>
        <w:t>Antiquities Authority committee judged it a forgery because of mistakes in the Hebrew and problems with the surface coating. The same collector was connected with this object.</w:t>
      </w:r>
    </w:p>
    <w:p w:rsidR="008E4B08" w:rsidRDefault="00C51EF0">
      <w:pPr>
        <w:pStyle w:val="Heading3"/>
        <w:keepNext/>
        <w:spacing w:before="120" w:after="60" w:line="360" w:lineRule="auto"/>
      </w:pPr>
      <w:r>
        <w:t>13.5.4 The Museum of the Bible Fragments</w:t>
      </w:r>
    </w:p>
    <w:p w:rsidR="008E4B08" w:rsidRDefault="00C51EF0">
      <w:pPr>
        <w:spacing w:line="480" w:lineRule="auto"/>
        <w:jc w:val="both"/>
      </w:pPr>
      <w:r>
        <w:t>The Museum of the Bible in Washington, DC, opened in 2017. It was funded largely by the Green family, owners of the Hobby Lobby company, and it bought sixteen fragments said to be from the Dead Sea Scrolls. From 2016 scholars raised doubts about these and other "Dead Sea Scrolls" fragments that had appeared on the market since 2002.</w:t>
      </w:r>
      <w:r>
        <w:rPr>
          <w:vertAlign w:val="superscript"/>
        </w:rPr>
        <w:t>97</w:t>
      </w:r>
      <w:r>
        <w:t xml:space="preserve"> </w:t>
      </w:r>
      <w:proofErr w:type="gramStart"/>
      <w:r>
        <w:t>In</w:t>
      </w:r>
      <w:proofErr w:type="gramEnd"/>
      <w:r>
        <w:t xml:space="preserve"> 2020 an independent investigation for the museum concluded that all sixteen fragments were modern forgeries, written on old leather, perhaps from ancient shoes. In 2017 the Hobby Lobby company also agreed to give up thousands of clay tablets and seal impressions that had been brought illegally from Iraq, and in 2021 a tablet of the </w:t>
      </w:r>
      <w:r>
        <w:rPr>
          <w:i/>
          <w:iCs/>
        </w:rPr>
        <w:t>Epic of Gilgamesh</w:t>
      </w:r>
      <w:r>
        <w:t xml:space="preserve"> bought for the museum was returned to Iraq after it was shown to have been looted.</w:t>
      </w:r>
    </w:p>
    <w:p w:rsidR="008E4B08" w:rsidRDefault="00C51EF0">
      <w:pPr>
        <w:spacing w:line="480" w:lineRule="auto"/>
        <w:ind w:firstLine="720"/>
        <w:jc w:val="both"/>
      </w:pPr>
      <w:r>
        <w:t>These cases are a serious warning to Christian institutions. A sincere wish to celebrate the Bible did not stop the purchase of looted and forged objects. Enthusiasm without expert knowledge and careful checking creates a market that rewards criminals.</w:t>
      </w:r>
    </w:p>
    <w:p w:rsidR="008E4B08" w:rsidRDefault="00C51EF0">
      <w:pPr>
        <w:spacing w:line="480" w:lineRule="auto"/>
        <w:ind w:firstLine="720"/>
        <w:jc w:val="both"/>
      </w:pPr>
      <w:r>
        <w:rPr>
          <w:b/>
          <w:bCs/>
        </w:rPr>
        <w:t>Example.</w:t>
      </w:r>
      <w:r>
        <w:t xml:space="preserve"> Many Nigerians have been deceived by fake goods, from counterfeit medicines to fake designer products, sold at attractive prices by convincing sellers. The buyers were sincere, but they did not check carefully. The Museum of the Bible fell into the same trap on a much larger scale. Good intentions are not enough; careful checking is necessary.</w:t>
      </w:r>
    </w:p>
    <w:p w:rsidR="008E4B08" w:rsidRDefault="00C51EF0">
      <w:pPr>
        <w:pStyle w:val="Heading3"/>
        <w:keepNext/>
        <w:spacing w:before="120" w:after="60" w:line="360" w:lineRule="auto"/>
      </w:pPr>
      <w:r>
        <w:t>13.5.5 The "Gospel of Jesus' Wife"</w:t>
      </w:r>
    </w:p>
    <w:p w:rsidR="008E4B08" w:rsidRDefault="00C51EF0">
      <w:pPr>
        <w:spacing w:line="480" w:lineRule="auto"/>
        <w:jc w:val="both"/>
      </w:pPr>
      <w:r>
        <w:t xml:space="preserve">In 2012 Karen King of Harvard Divinity School announced a small papyrus fragment in the Coptic language that included the words "Jesus said to them, 'My wife ...'". Investigations by scholars and the journalist Ariel </w:t>
      </w:r>
      <w:proofErr w:type="spellStart"/>
      <w:r>
        <w:t>Sabar</w:t>
      </w:r>
      <w:proofErr w:type="spellEnd"/>
      <w:r>
        <w:t xml:space="preserve"> later showed that it was a modern forgery, and King accepted this in 2016. This case shows that forgery is not limited to the conservative Christian market. Any sensational find that appeals to a particular group can be exploited.</w:t>
      </w:r>
    </w:p>
    <w:p w:rsidR="008E4B08" w:rsidRDefault="00C51EF0">
      <w:pPr>
        <w:pStyle w:val="Heading2"/>
        <w:keepNext/>
        <w:spacing w:before="240" w:after="120" w:line="360" w:lineRule="auto"/>
      </w:pPr>
      <w:bookmarkStart w:id="173" w:name="_Toc241908534"/>
      <w:r>
        <w:lastRenderedPageBreak/>
        <w:t>13.6 Why Forgeries Succeed</w:t>
      </w:r>
      <w:bookmarkEnd w:id="173"/>
    </w:p>
    <w:p w:rsidR="008E4B08" w:rsidRDefault="00C51EF0">
      <w:pPr>
        <w:spacing w:line="480" w:lineRule="auto"/>
        <w:jc w:val="both"/>
      </w:pPr>
      <w:r>
        <w:t>Forgeries succeed for several reasons:</w:t>
      </w:r>
    </w:p>
    <w:p w:rsidR="008E4B08" w:rsidRDefault="00C51EF0">
      <w:pPr>
        <w:pStyle w:val="ListParagraph"/>
        <w:numPr>
          <w:ilvl w:val="0"/>
          <w:numId w:val="2"/>
        </w:numPr>
        <w:spacing w:line="480" w:lineRule="auto"/>
        <w:jc w:val="both"/>
      </w:pPr>
      <w:r>
        <w:rPr>
          <w:b/>
          <w:bCs/>
        </w:rPr>
        <w:t>They meet a demand.</w:t>
      </w:r>
      <w:r>
        <w:t xml:space="preserve"> Forgers produce what buyers want: inscriptions naming biblical people, pieces of famous scrolls, or texts that support a particular belief.</w:t>
      </w:r>
    </w:p>
    <w:p w:rsidR="008E4B08" w:rsidRDefault="00C51EF0">
      <w:pPr>
        <w:pStyle w:val="ListParagraph"/>
        <w:numPr>
          <w:ilvl w:val="0"/>
          <w:numId w:val="2"/>
        </w:numPr>
        <w:spacing w:line="480" w:lineRule="auto"/>
        <w:jc w:val="both"/>
      </w:pPr>
      <w:r>
        <w:rPr>
          <w:b/>
          <w:bCs/>
        </w:rPr>
        <w:t>They exploit the lack of context.</w:t>
      </w:r>
      <w:r>
        <w:t xml:space="preserve"> Without a </w:t>
      </w:r>
      <w:proofErr w:type="spellStart"/>
      <w:r>
        <w:t>findspot</w:t>
      </w:r>
      <w:proofErr w:type="spellEnd"/>
      <w:r>
        <w:t>, experts must rely on handwriting, language and scientific tests, all of which can be imitated or disputed.</w:t>
      </w:r>
    </w:p>
    <w:p w:rsidR="008E4B08" w:rsidRDefault="00C51EF0">
      <w:pPr>
        <w:pStyle w:val="ListParagraph"/>
        <w:numPr>
          <w:ilvl w:val="0"/>
          <w:numId w:val="2"/>
        </w:numPr>
        <w:spacing w:line="480" w:lineRule="auto"/>
        <w:jc w:val="both"/>
      </w:pPr>
      <w:r>
        <w:rPr>
          <w:b/>
          <w:bCs/>
        </w:rPr>
        <w:t>They exploit institutions</w:t>
      </w:r>
      <w:r>
        <w:t xml:space="preserve"> that lack specialist knowledge or have financial or ideological motives.</w:t>
      </w:r>
    </w:p>
    <w:p w:rsidR="008E4B08" w:rsidRDefault="00C51EF0">
      <w:pPr>
        <w:pStyle w:val="ListParagraph"/>
        <w:numPr>
          <w:ilvl w:val="0"/>
          <w:numId w:val="2"/>
        </w:numPr>
        <w:spacing w:line="480" w:lineRule="auto"/>
        <w:jc w:val="both"/>
      </w:pPr>
      <w:r>
        <w:rPr>
          <w:b/>
          <w:bCs/>
        </w:rPr>
        <w:t>They benefit from the media,</w:t>
      </w:r>
      <w:r>
        <w:t xml:space="preserve"> which reward dramatic claims and rarely report later corrections with the same excitement.</w:t>
      </w:r>
    </w:p>
    <w:p w:rsidR="008E4B08" w:rsidRDefault="00C51EF0">
      <w:pPr>
        <w:pStyle w:val="Heading2"/>
        <w:keepNext/>
        <w:spacing w:before="240" w:after="120" w:line="360" w:lineRule="auto"/>
      </w:pPr>
      <w:bookmarkStart w:id="174" w:name="_Toc241908535"/>
      <w:r>
        <w:t>13.7 Archaeology and Politics</w:t>
      </w:r>
      <w:bookmarkEnd w:id="174"/>
    </w:p>
    <w:p w:rsidR="008E4B08" w:rsidRDefault="00C51EF0">
      <w:pPr>
        <w:spacing w:line="480" w:lineRule="auto"/>
        <w:jc w:val="both"/>
      </w:pPr>
      <w:r>
        <w:t xml:space="preserve">Archaeology in the lands of the Bible has always been linked with politics. Exploration in the nineteenth century was connected with rivalry among European empires. In modern Israel and Palestine, archaeological sites are part of competing claims to land and heritage. Excavations in Jerusalem, especially in the City of David in the Arab </w:t>
      </w:r>
      <w:proofErr w:type="spellStart"/>
      <w:r>
        <w:t>neighbourhood</w:t>
      </w:r>
      <w:proofErr w:type="spellEnd"/>
      <w:r>
        <w:t xml:space="preserve"> of </w:t>
      </w:r>
      <w:proofErr w:type="spellStart"/>
      <w:r>
        <w:t>Silwan</w:t>
      </w:r>
      <w:proofErr w:type="spellEnd"/>
      <w:r>
        <w:t>, are politically controversial. Students should be aware that archaeological stories can be used to support or undermine communities, and they should approach these questions fairly and with respect for all the peoples of the region.</w:t>
      </w:r>
    </w:p>
    <w:p w:rsidR="008E4B08" w:rsidRDefault="00C51EF0">
      <w:pPr>
        <w:pStyle w:val="Heading2"/>
        <w:keepNext/>
        <w:spacing w:before="240" w:after="120" w:line="360" w:lineRule="auto"/>
      </w:pPr>
      <w:bookmarkStart w:id="175" w:name="_Toc241908536"/>
      <w:r>
        <w:t>13.8 Ethical Principles</w:t>
      </w:r>
      <w:bookmarkEnd w:id="175"/>
    </w:p>
    <w:p w:rsidR="008E4B08" w:rsidRDefault="00C51EF0">
      <w:pPr>
        <w:spacing w:line="480" w:lineRule="auto"/>
        <w:jc w:val="both"/>
      </w:pPr>
      <w:r>
        <w:t>The following principles are recommended for scholars, theological institutions, churches and individual Christians:</w:t>
      </w:r>
    </w:p>
    <w:p w:rsidR="008E4B08" w:rsidRDefault="00C51EF0">
      <w:pPr>
        <w:tabs>
          <w:tab w:val="left" w:pos="720"/>
        </w:tabs>
        <w:spacing w:line="480" w:lineRule="auto"/>
        <w:ind w:left="720" w:hanging="360"/>
        <w:jc w:val="both"/>
      </w:pPr>
      <w:r>
        <w:t>1.</w:t>
      </w:r>
      <w:r>
        <w:tab/>
      </w:r>
      <w:r>
        <w:rPr>
          <w:b/>
          <w:bCs/>
        </w:rPr>
        <w:t>Respect context.</w:t>
      </w:r>
      <w:r>
        <w:t xml:space="preserve"> Value ancient objects mainly for the knowledge they give in their context, not for their price or their sensational appeal.</w:t>
      </w:r>
    </w:p>
    <w:p w:rsidR="008E4B08" w:rsidRDefault="00C51EF0">
      <w:pPr>
        <w:tabs>
          <w:tab w:val="left" w:pos="720"/>
        </w:tabs>
        <w:spacing w:line="480" w:lineRule="auto"/>
        <w:ind w:left="720" w:hanging="360"/>
        <w:jc w:val="both"/>
      </w:pPr>
      <w:r>
        <w:t>2.</w:t>
      </w:r>
      <w:r>
        <w:tab/>
      </w:r>
      <w:r>
        <w:rPr>
          <w:b/>
          <w:bCs/>
        </w:rPr>
        <w:t xml:space="preserve">Do not buy </w:t>
      </w:r>
      <w:proofErr w:type="spellStart"/>
      <w:r>
        <w:rPr>
          <w:b/>
          <w:bCs/>
        </w:rPr>
        <w:t>unprovenanced</w:t>
      </w:r>
      <w:proofErr w:type="spellEnd"/>
      <w:r>
        <w:rPr>
          <w:b/>
          <w:bCs/>
        </w:rPr>
        <w:t xml:space="preserve"> antiquities.</w:t>
      </w:r>
      <w:r>
        <w:t xml:space="preserve"> Do not buy, sell or accept as gifts any antiquities without documents showing that they were legally exported.</w:t>
      </w:r>
    </w:p>
    <w:p w:rsidR="008E4B08" w:rsidRDefault="00C51EF0">
      <w:pPr>
        <w:tabs>
          <w:tab w:val="left" w:pos="720"/>
        </w:tabs>
        <w:spacing w:line="480" w:lineRule="auto"/>
        <w:ind w:left="720" w:hanging="360"/>
        <w:jc w:val="both"/>
      </w:pPr>
      <w:r>
        <w:lastRenderedPageBreak/>
        <w:t>3.</w:t>
      </w:r>
      <w:r>
        <w:tab/>
      </w:r>
      <w:proofErr w:type="gramStart"/>
      <w:r>
        <w:rPr>
          <w:b/>
          <w:bCs/>
        </w:rPr>
        <w:t>Be</w:t>
      </w:r>
      <w:proofErr w:type="gramEnd"/>
      <w:r>
        <w:rPr>
          <w:b/>
          <w:bCs/>
        </w:rPr>
        <w:t xml:space="preserve"> careful in publishing.</w:t>
      </w:r>
      <w:r>
        <w:t xml:space="preserve"> Be cautious about publishing or authenticating objects without a </w:t>
      </w:r>
      <w:proofErr w:type="spellStart"/>
      <w:r>
        <w:t>findspot</w:t>
      </w:r>
      <w:proofErr w:type="spellEnd"/>
      <w:r>
        <w:t>, and state their status clearly when they are discussed.</w:t>
      </w:r>
    </w:p>
    <w:p w:rsidR="008E4B08" w:rsidRDefault="00C51EF0">
      <w:pPr>
        <w:tabs>
          <w:tab w:val="left" w:pos="720"/>
        </w:tabs>
        <w:spacing w:line="480" w:lineRule="auto"/>
        <w:ind w:left="720" w:hanging="360"/>
        <w:jc w:val="both"/>
      </w:pPr>
      <w:r>
        <w:t>4.</w:t>
      </w:r>
      <w:r>
        <w:tab/>
      </w:r>
      <w:r>
        <w:rPr>
          <w:b/>
          <w:bCs/>
        </w:rPr>
        <w:t>Respect heritage.</w:t>
      </w:r>
      <w:r>
        <w:t xml:space="preserve"> </w:t>
      </w:r>
      <w:proofErr w:type="spellStart"/>
      <w:r>
        <w:t>Recognise</w:t>
      </w:r>
      <w:proofErr w:type="spellEnd"/>
      <w:r>
        <w:t xml:space="preserve"> that antiquities belong to the heritage of the peoples of the countries where they are found.</w:t>
      </w:r>
    </w:p>
    <w:p w:rsidR="008E4B08" w:rsidRDefault="00C51EF0">
      <w:pPr>
        <w:tabs>
          <w:tab w:val="left" w:pos="720"/>
        </w:tabs>
        <w:spacing w:line="480" w:lineRule="auto"/>
        <w:ind w:left="720" w:hanging="360"/>
        <w:jc w:val="both"/>
      </w:pPr>
      <w:r>
        <w:t>5.</w:t>
      </w:r>
      <w:r>
        <w:tab/>
      </w:r>
      <w:r>
        <w:rPr>
          <w:b/>
          <w:bCs/>
        </w:rPr>
        <w:t>Tell the truth.</w:t>
      </w:r>
      <w:r>
        <w:t xml:space="preserve"> Christian commitment to truth requires us to admit forgeries and mistakes, even when they are embarrassing or seem to weaken an argument for the faith.</w:t>
      </w:r>
    </w:p>
    <w:p w:rsidR="008E4B08" w:rsidRDefault="00C51EF0">
      <w:pPr>
        <w:tabs>
          <w:tab w:val="left" w:pos="720"/>
        </w:tabs>
        <w:spacing w:line="480" w:lineRule="auto"/>
        <w:ind w:left="720" w:hanging="360"/>
        <w:jc w:val="both"/>
      </w:pPr>
      <w:r>
        <w:t>6.</w:t>
      </w:r>
      <w:r>
        <w:tab/>
      </w:r>
      <w:r>
        <w:rPr>
          <w:b/>
          <w:bCs/>
        </w:rPr>
        <w:t>Teach the church.</w:t>
      </w:r>
      <w:r>
        <w:t xml:space="preserve"> Teach congregations to test claims carefully, especially claims spread on social media.</w:t>
      </w:r>
    </w:p>
    <w:p w:rsidR="008E4B08" w:rsidRDefault="00C51EF0">
      <w:pPr>
        <w:tabs>
          <w:tab w:val="left" w:pos="720"/>
        </w:tabs>
        <w:spacing w:line="480" w:lineRule="auto"/>
        <w:ind w:left="720" w:hanging="360"/>
        <w:jc w:val="both"/>
      </w:pPr>
      <w:r>
        <w:t>7.</w:t>
      </w:r>
      <w:r>
        <w:tab/>
      </w:r>
      <w:r>
        <w:rPr>
          <w:b/>
          <w:bCs/>
        </w:rPr>
        <w:t>Behave well as pilgrims.</w:t>
      </w:r>
      <w:r>
        <w:t xml:space="preserve"> Pilgrims should not buy antiquities from street sellers or unlicensed dealers, and should respect the laws and peoples of the lands they visit.</w:t>
      </w:r>
    </w:p>
    <w:p w:rsidR="008E4B08" w:rsidRDefault="00C51EF0">
      <w:pPr>
        <w:pStyle w:val="Heading2"/>
        <w:keepNext/>
        <w:spacing w:before="240" w:after="120" w:line="360" w:lineRule="auto"/>
      </w:pPr>
      <w:bookmarkStart w:id="176" w:name="_Toc241908537"/>
      <w:r>
        <w:t>13.9 Summary</w:t>
      </w:r>
      <w:bookmarkEnd w:id="176"/>
    </w:p>
    <w:p w:rsidR="008E4B08" w:rsidRDefault="00C51EF0">
      <w:pPr>
        <w:spacing w:line="480" w:lineRule="auto"/>
        <w:jc w:val="both"/>
      </w:pPr>
      <w:r>
        <w:t xml:space="preserve">The value of archaeological evidence depends on its context, which looting destroys. The antiquities trade encourages looting and creates opportunities for forgery. Major cases, including the </w:t>
      </w:r>
      <w:proofErr w:type="spellStart"/>
      <w:r>
        <w:t>Shapira</w:t>
      </w:r>
      <w:proofErr w:type="spellEnd"/>
      <w:r>
        <w:t xml:space="preserve"> manuscripts, the James ossuary, the </w:t>
      </w:r>
      <w:proofErr w:type="spellStart"/>
      <w:r>
        <w:t>Jehoash</w:t>
      </w:r>
      <w:proofErr w:type="spellEnd"/>
      <w:r>
        <w:t xml:space="preserve"> inscription, the Museum of the Bible fragments and the "Gospel of Jesus' Wife", show how forgers exploit demand and the lack of context. Christian scholars and institutions have a special responsibility to act with integrity, to refuse objects without a proper history and to tell the truth about forgeries.</w:t>
      </w:r>
    </w:p>
    <w:p w:rsidR="008E4B08" w:rsidRDefault="00C51EF0">
      <w:pPr>
        <w:pStyle w:val="Heading2"/>
        <w:keepNext/>
        <w:spacing w:before="240" w:after="120" w:line="360" w:lineRule="auto"/>
      </w:pPr>
      <w:bookmarkStart w:id="177" w:name="_Toc241908538"/>
      <w:r>
        <w:t>13.10 Life Application</w:t>
      </w:r>
      <w:bookmarkEnd w:id="177"/>
    </w:p>
    <w:p w:rsidR="008E4B08" w:rsidRDefault="00C51EF0">
      <w:pPr>
        <w:spacing w:line="480" w:lineRule="auto"/>
        <w:jc w:val="both"/>
      </w:pPr>
      <w:r>
        <w:t>The problems of looting and forgery show the dangers that arise when enthusiasm is not guided by truth and righteousness.</w:t>
      </w:r>
    </w:p>
    <w:p w:rsidR="008E4B08" w:rsidRDefault="00C51EF0">
      <w:pPr>
        <w:pStyle w:val="ListParagraph"/>
        <w:numPr>
          <w:ilvl w:val="0"/>
          <w:numId w:val="2"/>
        </w:numPr>
        <w:spacing w:line="480" w:lineRule="auto"/>
        <w:jc w:val="both"/>
      </w:pPr>
      <w:r>
        <w:rPr>
          <w:b/>
          <w:bCs/>
        </w:rPr>
        <w:t>Truth matters more than appearances.</w:t>
      </w:r>
      <w:r>
        <w:t xml:space="preserve"> The forged scroll fragments looked convincing but were false. Christians must value truth even when a falsehood seems to serve a good cause (</w:t>
      </w:r>
      <w:proofErr w:type="spellStart"/>
      <w:r>
        <w:t>Prov</w:t>
      </w:r>
      <w:proofErr w:type="spellEnd"/>
      <w:r>
        <w:t xml:space="preserve"> 12:22).</w:t>
      </w:r>
    </w:p>
    <w:p w:rsidR="008E4B08" w:rsidRDefault="00C51EF0">
      <w:pPr>
        <w:pStyle w:val="ListParagraph"/>
        <w:numPr>
          <w:ilvl w:val="0"/>
          <w:numId w:val="2"/>
        </w:numPr>
        <w:spacing w:line="480" w:lineRule="auto"/>
        <w:jc w:val="both"/>
      </w:pPr>
      <w:r>
        <w:rPr>
          <w:b/>
          <w:bCs/>
        </w:rPr>
        <w:lastRenderedPageBreak/>
        <w:t>Zeal needs knowledge.</w:t>
      </w:r>
      <w:r>
        <w:t xml:space="preserve"> Sincere believers spent large sums on fake and looted objects. Zeal without knowledge leads into error (Rom 10:2). Churches should seek expert advice before major decisions.</w:t>
      </w:r>
    </w:p>
    <w:p w:rsidR="008E4B08" w:rsidRDefault="00C51EF0">
      <w:pPr>
        <w:pStyle w:val="ListParagraph"/>
        <w:numPr>
          <w:ilvl w:val="0"/>
          <w:numId w:val="2"/>
        </w:numPr>
        <w:spacing w:line="480" w:lineRule="auto"/>
        <w:jc w:val="both"/>
      </w:pPr>
      <w:r>
        <w:rPr>
          <w:b/>
          <w:bCs/>
        </w:rPr>
        <w:t>Do not profit from wrongdoing.</w:t>
      </w:r>
      <w:r>
        <w:t xml:space="preserve"> Buying looted antiquities rewards theft. Believers must make sure that their purchases, investments and businesses are free from injustice.</w:t>
      </w:r>
    </w:p>
    <w:p w:rsidR="008E4B08" w:rsidRDefault="00C51EF0">
      <w:pPr>
        <w:pStyle w:val="ListParagraph"/>
        <w:numPr>
          <w:ilvl w:val="0"/>
          <w:numId w:val="2"/>
        </w:numPr>
        <w:spacing w:line="480" w:lineRule="auto"/>
        <w:jc w:val="both"/>
      </w:pPr>
      <w:r>
        <w:rPr>
          <w:b/>
          <w:bCs/>
        </w:rPr>
        <w:t>Respect the heritage of others.</w:t>
      </w:r>
      <w:r>
        <w:t xml:space="preserve"> Just as Nigerians grieve over the loss of the Benin Bronzes, every people's heritage deserves respect. Loving our </w:t>
      </w:r>
      <w:proofErr w:type="spellStart"/>
      <w:r>
        <w:t>neighbour</w:t>
      </w:r>
      <w:proofErr w:type="spellEnd"/>
      <w:r>
        <w:t xml:space="preserve"> includes respecting their history.</w:t>
      </w:r>
    </w:p>
    <w:p w:rsidR="008E4B08" w:rsidRDefault="00C51EF0">
      <w:pPr>
        <w:pStyle w:val="ListParagraph"/>
        <w:numPr>
          <w:ilvl w:val="0"/>
          <w:numId w:val="2"/>
        </w:numPr>
        <w:spacing w:line="480" w:lineRule="auto"/>
        <w:jc w:val="both"/>
      </w:pPr>
      <w:r>
        <w:rPr>
          <w:b/>
          <w:bCs/>
        </w:rPr>
        <w:t>Admit mistakes openly.</w:t>
      </w:r>
      <w:r>
        <w:t xml:space="preserve"> When errors are discovered, Christian institutions should admit them openly, as the Museum of the Bible eventually did. Honest confession restores credibility and </w:t>
      </w:r>
      <w:proofErr w:type="spellStart"/>
      <w:r>
        <w:t>honours</w:t>
      </w:r>
      <w:proofErr w:type="spellEnd"/>
      <w:r>
        <w:t xml:space="preserve"> God.</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God of truth, deliver me from every form of deception, whether I am tempted to deceive others or to deceive myself. Give me zeal that is guided by knowledge and integrity in every transaction. Help me to respect the heritage of every people, and to confess my mistakes quickly and honestly. In Jesus' name. Amen.</w:t>
      </w:r>
    </w:p>
    <w:p w:rsidR="008E4B08" w:rsidRDefault="00C51EF0">
      <w:pPr>
        <w:pStyle w:val="Heading2"/>
        <w:keepNext/>
        <w:spacing w:before="240" w:after="120" w:line="360" w:lineRule="auto"/>
      </w:pPr>
      <w:bookmarkStart w:id="178" w:name="_Toc241908539"/>
      <w:r>
        <w:t>13.11 Discussion Questions</w:t>
      </w:r>
      <w:bookmarkEnd w:id="178"/>
    </w:p>
    <w:p w:rsidR="008E4B08" w:rsidRDefault="00C51EF0">
      <w:pPr>
        <w:tabs>
          <w:tab w:val="left" w:pos="720"/>
        </w:tabs>
        <w:spacing w:line="480" w:lineRule="auto"/>
        <w:ind w:left="720" w:hanging="360"/>
        <w:jc w:val="both"/>
      </w:pPr>
      <w:r>
        <w:t>1.</w:t>
      </w:r>
      <w:r>
        <w:tab/>
        <w:t>Why is archaeological context so important, and how does looting destroy it?</w:t>
      </w:r>
    </w:p>
    <w:p w:rsidR="008E4B08" w:rsidRDefault="00C51EF0">
      <w:pPr>
        <w:tabs>
          <w:tab w:val="left" w:pos="720"/>
        </w:tabs>
        <w:spacing w:line="480" w:lineRule="auto"/>
        <w:ind w:left="720" w:hanging="360"/>
        <w:jc w:val="both"/>
      </w:pPr>
      <w:r>
        <w:t>2.</w:t>
      </w:r>
      <w:r>
        <w:tab/>
        <w:t>What lessons should Christian institutions learn from the Museum of the Bible fragments?</w:t>
      </w:r>
    </w:p>
    <w:p w:rsidR="008E4B08" w:rsidRDefault="00C51EF0">
      <w:pPr>
        <w:tabs>
          <w:tab w:val="left" w:pos="720"/>
        </w:tabs>
        <w:spacing w:line="480" w:lineRule="auto"/>
        <w:ind w:left="720" w:hanging="360"/>
        <w:jc w:val="both"/>
      </w:pPr>
      <w:r>
        <w:t>3.</w:t>
      </w:r>
      <w:r>
        <w:tab/>
        <w:t>Discuss the ethical issues raised by the James ossuary case.</w:t>
      </w:r>
    </w:p>
    <w:p w:rsidR="008E4B08" w:rsidRDefault="00C51EF0">
      <w:pPr>
        <w:tabs>
          <w:tab w:val="left" w:pos="720"/>
        </w:tabs>
        <w:spacing w:line="480" w:lineRule="auto"/>
        <w:ind w:left="720" w:hanging="360"/>
        <w:jc w:val="both"/>
      </w:pPr>
      <w:r>
        <w:t>4.</w:t>
      </w:r>
      <w:r>
        <w:tab/>
        <w:t>Compare the looting of biblical antiquities with the looting of Nigerian cultural heritage. What common principles apply?</w:t>
      </w:r>
    </w:p>
    <w:p w:rsidR="008E4B08" w:rsidRDefault="00C51EF0">
      <w:pPr>
        <w:pStyle w:val="Heading2"/>
        <w:keepNext/>
        <w:spacing w:before="240" w:after="120" w:line="360" w:lineRule="auto"/>
      </w:pPr>
      <w:bookmarkStart w:id="179" w:name="_Toc241908540"/>
      <w:r>
        <w:lastRenderedPageBreak/>
        <w:t>13.12 Further Reading</w:t>
      </w:r>
      <w:bookmarkEnd w:id="179"/>
    </w:p>
    <w:p w:rsidR="008E4B08" w:rsidRDefault="00C51EF0">
      <w:pPr>
        <w:spacing w:after="160"/>
        <w:ind w:left="720" w:hanging="720"/>
      </w:pPr>
      <w:r>
        <w:t xml:space="preserve">Moss, Candida R., and Joel S. Baden. </w:t>
      </w:r>
      <w:r>
        <w:rPr>
          <w:i/>
          <w:iCs/>
        </w:rPr>
        <w:t>Bible Nation: The United States of Hobby Lobby</w:t>
      </w:r>
      <w:r>
        <w:t>. Princeton: Princeton University Press, 2017.</w:t>
      </w:r>
    </w:p>
    <w:p w:rsidR="008E4B08" w:rsidRDefault="00C51EF0">
      <w:pPr>
        <w:spacing w:after="160"/>
        <w:ind w:left="720" w:hanging="720"/>
      </w:pPr>
      <w:r>
        <w:t xml:space="preserve">Renfrew, Colin. </w:t>
      </w:r>
      <w:r>
        <w:rPr>
          <w:i/>
          <w:iCs/>
        </w:rPr>
        <w:t>Loot, Legitimacy and Ownership: The Ethical Crisis in Archaeology</w:t>
      </w:r>
      <w:r>
        <w:t>. London: Duckworth, 2000.</w:t>
      </w:r>
    </w:p>
    <w:p w:rsidR="008E4B08" w:rsidRDefault="00C51EF0">
      <w:pPr>
        <w:spacing w:after="160"/>
        <w:ind w:left="720" w:hanging="720"/>
      </w:pPr>
      <w:proofErr w:type="spellStart"/>
      <w:r>
        <w:t>Sabar</w:t>
      </w:r>
      <w:proofErr w:type="spellEnd"/>
      <w:r>
        <w:t xml:space="preserve">, Ariel. </w:t>
      </w:r>
      <w:r>
        <w:rPr>
          <w:i/>
          <w:iCs/>
        </w:rPr>
        <w:t>Veritas: A Harvard Professor, a Con Man and the Gospel of Jesus's Wife</w:t>
      </w:r>
      <w:r>
        <w:t>. New York: Doubleday, 2020.</w:t>
      </w:r>
    </w:p>
    <w:p w:rsidR="008E4B08" w:rsidRDefault="00C51EF0">
      <w:pPr>
        <w:spacing w:after="160"/>
        <w:ind w:left="720" w:hanging="720"/>
      </w:pPr>
      <w:r>
        <w:t xml:space="preserve">Shanks, Hershel, and Ben Witherington III. </w:t>
      </w:r>
      <w:r>
        <w:rPr>
          <w:i/>
          <w:iCs/>
        </w:rPr>
        <w:t>The Brother of Jesus: The Dramatic Story and Meaning of the First Archaeological Link to Jesus and His Family</w:t>
      </w:r>
      <w:r>
        <w:t xml:space="preserve">. San Francisco: </w:t>
      </w:r>
      <w:proofErr w:type="spellStart"/>
      <w:r>
        <w:t>HarperSanFrancisco</w:t>
      </w:r>
      <w:proofErr w:type="spellEnd"/>
      <w:r>
        <w:t>, 2003.</w:t>
      </w:r>
    </w:p>
    <w:p w:rsidR="008E4B08" w:rsidRDefault="00C51EF0">
      <w:pPr>
        <w:pStyle w:val="Heading1"/>
        <w:pageBreakBefore/>
        <w:spacing w:after="360" w:line="360" w:lineRule="auto"/>
        <w:jc w:val="center"/>
      </w:pPr>
      <w:bookmarkStart w:id="180" w:name="_Toc241908541"/>
      <w:r>
        <w:lastRenderedPageBreak/>
        <w:t>UNIT FOURTEEN: AFRICA, ARCHAEOLOGY AND THE BIBLE: IMPLICATIONS FOR THE AFRICAN CHURCH</w:t>
      </w:r>
      <w:bookmarkEnd w:id="180"/>
    </w:p>
    <w:p w:rsidR="008E4B08" w:rsidRDefault="00C51EF0">
      <w:pPr>
        <w:pStyle w:val="Heading2"/>
        <w:keepNext/>
        <w:spacing w:before="240" w:after="120" w:line="360" w:lineRule="auto"/>
      </w:pPr>
      <w:bookmarkStart w:id="181" w:name="_Toc241908542"/>
      <w:r>
        <w:t>14.1 Introduction</w:t>
      </w:r>
      <w:bookmarkEnd w:id="181"/>
    </w:p>
    <w:p w:rsidR="008E4B08" w:rsidRDefault="00C51EF0">
      <w:pPr>
        <w:spacing w:line="480" w:lineRule="auto"/>
        <w:jc w:val="both"/>
      </w:pPr>
      <w:r>
        <w:t xml:space="preserve">Africa is not on the edge of the biblical world. Egypt, a great African </w:t>
      </w:r>
      <w:proofErr w:type="spellStart"/>
      <w:r>
        <w:t>civilisation</w:t>
      </w:r>
      <w:proofErr w:type="spellEnd"/>
      <w:r>
        <w:t>, is mentioned hundreds of times in Scripture. Cush, the kingdom on the Nile south of Egypt, appears again and again, and Africans play important roles from Genesis to Acts. Yet the African presence in the Bible has often been overlooked, or Egypt has been treated as if it belonged only to the Middle East rather than to Africa. At the same time, the African church, with its rapid growth, high view of Scripture and deep interest in the lands of the Bible, has much to gain from responsible engagement with archaeology. This final unit examines the evidence for Africa in the biblical world and draws out lessons for theological education, preaching and ministry in Nigeria and across Africa.</w:t>
      </w:r>
    </w:p>
    <w:p w:rsidR="008E4B08" w:rsidRDefault="00C51EF0">
      <w:pPr>
        <w:pStyle w:val="Heading2"/>
        <w:keepNext/>
        <w:spacing w:before="240" w:after="120" w:line="360" w:lineRule="auto"/>
      </w:pPr>
      <w:bookmarkStart w:id="182" w:name="_Toc241908543"/>
      <w:r>
        <w:t>14.2 Learning Objectives</w:t>
      </w:r>
      <w:bookmarkEnd w:id="182"/>
    </w:p>
    <w:p w:rsidR="008E4B08" w:rsidRDefault="00C51EF0">
      <w:pPr>
        <w:spacing w:line="480" w:lineRule="auto"/>
        <w:jc w:val="both"/>
      </w:pPr>
      <w:r>
        <w:t>At the end of this unit, you should be able to:</w:t>
      </w:r>
    </w:p>
    <w:p w:rsidR="008E4B08" w:rsidRDefault="00C51EF0">
      <w:pPr>
        <w:pStyle w:val="ListParagraph"/>
        <w:numPr>
          <w:ilvl w:val="0"/>
          <w:numId w:val="2"/>
        </w:numPr>
        <w:spacing w:line="480" w:lineRule="auto"/>
        <w:jc w:val="both"/>
      </w:pPr>
      <w:r>
        <w:t>describe the archaeological evidence for Egypt and Cush in relation to the Bible;</w:t>
      </w:r>
    </w:p>
    <w:p w:rsidR="008E4B08" w:rsidRDefault="00C51EF0">
      <w:pPr>
        <w:pStyle w:val="ListParagraph"/>
        <w:numPr>
          <w:ilvl w:val="0"/>
          <w:numId w:val="2"/>
        </w:numPr>
        <w:spacing w:line="480" w:lineRule="auto"/>
        <w:jc w:val="both"/>
      </w:pPr>
      <w:r>
        <w:t>assess the contribution of African scholars to the study of Africa in the Bible;</w:t>
      </w:r>
    </w:p>
    <w:p w:rsidR="008E4B08" w:rsidRDefault="00C51EF0">
      <w:pPr>
        <w:pStyle w:val="ListParagraph"/>
        <w:numPr>
          <w:ilvl w:val="0"/>
          <w:numId w:val="2"/>
        </w:numPr>
        <w:spacing w:line="480" w:lineRule="auto"/>
        <w:jc w:val="both"/>
      </w:pPr>
      <w:r>
        <w:t>evaluate the use and misuse of archaeology in African Christian preaching and apologetics; and</w:t>
      </w:r>
    </w:p>
    <w:p w:rsidR="008E4B08" w:rsidRDefault="00C51EF0">
      <w:pPr>
        <w:pStyle w:val="ListParagraph"/>
        <w:numPr>
          <w:ilvl w:val="0"/>
          <w:numId w:val="2"/>
        </w:numPr>
        <w:spacing w:line="480" w:lineRule="auto"/>
        <w:jc w:val="both"/>
      </w:pPr>
      <w:proofErr w:type="gramStart"/>
      <w:r>
        <w:t>propose</w:t>
      </w:r>
      <w:proofErr w:type="gramEnd"/>
      <w:r>
        <w:t xml:space="preserve"> ways of strengthening the study of biblical archaeology in African theological institutions.</w:t>
      </w:r>
    </w:p>
    <w:p w:rsidR="008E4B08" w:rsidRDefault="00C51EF0">
      <w:pPr>
        <w:pStyle w:val="Heading2"/>
        <w:keepNext/>
        <w:spacing w:before="240" w:after="120" w:line="360" w:lineRule="auto"/>
      </w:pPr>
      <w:bookmarkStart w:id="183" w:name="_Toc241908544"/>
      <w:r>
        <w:t>14.3 Africa in the Biblical World</w:t>
      </w:r>
      <w:bookmarkEnd w:id="183"/>
    </w:p>
    <w:p w:rsidR="008E4B08" w:rsidRDefault="00C51EF0">
      <w:pPr>
        <w:pStyle w:val="Heading3"/>
        <w:keepNext/>
        <w:spacing w:before="120" w:after="60" w:line="360" w:lineRule="auto"/>
      </w:pPr>
      <w:r>
        <w:t>14.3.1 Egypt</w:t>
      </w:r>
    </w:p>
    <w:p w:rsidR="008E4B08" w:rsidRDefault="00C51EF0">
      <w:pPr>
        <w:spacing w:line="480" w:lineRule="auto"/>
        <w:jc w:val="both"/>
      </w:pPr>
      <w:r>
        <w:t xml:space="preserve">Egypt is involved in the whole biblical story: Abraham's stay in Egypt (Gen 12), the life of Joseph, the oppression and the exodus, Solomon's marriage to Pharaoh's daughter (1 Kgs 3:1), </w:t>
      </w:r>
      <w:r>
        <w:lastRenderedPageBreak/>
        <w:t xml:space="preserve">the invasion of </w:t>
      </w:r>
      <w:proofErr w:type="spellStart"/>
      <w:r>
        <w:t>Shishak</w:t>
      </w:r>
      <w:proofErr w:type="spellEnd"/>
      <w:r>
        <w:t xml:space="preserve"> (1 Kgs 14:25), the alliances condemned by Isaiah (Isa 30–31), the death of Josiah at the hands of Pharaoh </w:t>
      </w:r>
      <w:proofErr w:type="spellStart"/>
      <w:r>
        <w:t>Neco</w:t>
      </w:r>
      <w:proofErr w:type="spellEnd"/>
      <w:r>
        <w:t xml:space="preserve"> (2 Kgs 23:29), the flight of </w:t>
      </w:r>
      <w:proofErr w:type="spellStart"/>
      <w:r>
        <w:t>Judaeans</w:t>
      </w:r>
      <w:proofErr w:type="spellEnd"/>
      <w:r>
        <w:t xml:space="preserve"> to Egypt with Jeremiah (</w:t>
      </w:r>
      <w:proofErr w:type="spellStart"/>
      <w:r>
        <w:t>Jer</w:t>
      </w:r>
      <w:proofErr w:type="spellEnd"/>
      <w:r>
        <w:t xml:space="preserve"> 43–44), the Jewish community at Elephantine, and the flight of Joseph, Mary and the child Jesus into Egypt (Matt 2:13–15). In New Testament times, Alexandria in Egypt had one of the largest Jewish communities in the world. It was there that the Old Testament was translated into Greek (the Septuagint), and it was the home city of Apollos (Acts 18:24).</w:t>
      </w:r>
    </w:p>
    <w:p w:rsidR="008E4B08" w:rsidRDefault="00C51EF0">
      <w:pPr>
        <w:spacing w:line="480" w:lineRule="auto"/>
        <w:ind w:firstLine="720"/>
        <w:jc w:val="both"/>
      </w:pPr>
      <w:r>
        <w:t xml:space="preserve">As earlier units have shown, Egyptian archaeology has shed much light on this history. Egyptian texts such as the </w:t>
      </w:r>
      <w:proofErr w:type="spellStart"/>
      <w:r>
        <w:t>Merneptah</w:t>
      </w:r>
      <w:proofErr w:type="spellEnd"/>
      <w:r>
        <w:t xml:space="preserve"> Stele, </w:t>
      </w:r>
      <w:proofErr w:type="spellStart"/>
      <w:r>
        <w:t>Shishak's</w:t>
      </w:r>
      <w:proofErr w:type="spellEnd"/>
      <w:r>
        <w:t xml:space="preserve"> list at </w:t>
      </w:r>
      <w:proofErr w:type="spellStart"/>
      <w:r>
        <w:t>Karnak</w:t>
      </w:r>
      <w:proofErr w:type="spellEnd"/>
      <w:r>
        <w:t xml:space="preserve"> and the Amarna letters provide fixed points for the history of Canaan and Israel. The Elephantine papyri document a Jewish community living on African soil in the fifth century BC.</w:t>
      </w:r>
    </w:p>
    <w:p w:rsidR="008E4B08" w:rsidRDefault="00C51EF0">
      <w:pPr>
        <w:spacing w:line="480" w:lineRule="auto"/>
        <w:ind w:firstLine="720"/>
        <w:jc w:val="both"/>
      </w:pPr>
      <w:r>
        <w:rPr>
          <w:b/>
          <w:bCs/>
        </w:rPr>
        <w:t>Example.</w:t>
      </w:r>
      <w:r>
        <w:t xml:space="preserve"> When Mary and Joseph fled with the infant Jesus, Egypt, an African land, became a place of refuge for the </w:t>
      </w:r>
      <w:proofErr w:type="spellStart"/>
      <w:r>
        <w:t>Saviour</w:t>
      </w:r>
      <w:proofErr w:type="spellEnd"/>
      <w:r>
        <w:t xml:space="preserve"> of the world (Matt 2:13–15). African Christians can rightly reflect that their continent sheltered the holy family in a time of danger.</w:t>
      </w:r>
    </w:p>
    <w:p w:rsidR="008E4B08" w:rsidRDefault="00C51EF0">
      <w:pPr>
        <w:pStyle w:val="Heading3"/>
        <w:keepNext/>
        <w:spacing w:before="120" w:after="60" w:line="360" w:lineRule="auto"/>
      </w:pPr>
      <w:r>
        <w:t>14.3.2 Cush and Nubia</w:t>
      </w:r>
    </w:p>
    <w:p w:rsidR="008E4B08" w:rsidRDefault="00C51EF0">
      <w:pPr>
        <w:spacing w:line="480" w:lineRule="auto"/>
        <w:jc w:val="both"/>
      </w:pPr>
      <w:r>
        <w:t xml:space="preserve">The Hebrew word </w:t>
      </w:r>
      <w:r>
        <w:rPr>
          <w:i/>
          <w:iCs/>
        </w:rPr>
        <w:t>Kush</w:t>
      </w:r>
      <w:r>
        <w:t xml:space="preserve"> (often translated "Ethiopia" in older English Bibles) refers to the land on the Nile south of Egypt, in modern Sudan, which archaeologists call Nubia. This region was home to powerful African kingdoms, </w:t>
      </w:r>
      <w:proofErr w:type="spellStart"/>
      <w:r>
        <w:t>centred</w:t>
      </w:r>
      <w:proofErr w:type="spellEnd"/>
      <w:r>
        <w:t xml:space="preserve"> at different times at </w:t>
      </w:r>
      <w:proofErr w:type="spellStart"/>
      <w:r>
        <w:t>Kerma</w:t>
      </w:r>
      <w:proofErr w:type="spellEnd"/>
      <w:r>
        <w:t xml:space="preserve">, Napata and </w:t>
      </w:r>
      <w:proofErr w:type="spellStart"/>
      <w:r>
        <w:t>Meroë</w:t>
      </w:r>
      <w:proofErr w:type="spellEnd"/>
      <w:r>
        <w:t xml:space="preserve">. Excavations by George </w:t>
      </w:r>
      <w:proofErr w:type="spellStart"/>
      <w:r>
        <w:t>Reisner</w:t>
      </w:r>
      <w:proofErr w:type="spellEnd"/>
      <w:r>
        <w:t xml:space="preserve"> in the early twentieth century and by Charles Bonnet and others more recently have revealed impressive palaces, temples, pyramids and royal tombs.</w:t>
      </w:r>
    </w:p>
    <w:p w:rsidR="008E4B08" w:rsidRDefault="00C51EF0">
      <w:pPr>
        <w:spacing w:line="480" w:lineRule="auto"/>
        <w:ind w:firstLine="720"/>
        <w:jc w:val="both"/>
      </w:pPr>
      <w:r>
        <w:t>In the eighth century BC, kings from Cush conquered Egypt and ruled it as the Twenty-fifth Dynasty. The Bible refers to this period when it says that Sennacherib heard that "</w:t>
      </w:r>
      <w:proofErr w:type="spellStart"/>
      <w:r>
        <w:t>Tirhakah</w:t>
      </w:r>
      <w:proofErr w:type="spellEnd"/>
      <w:r>
        <w:t xml:space="preserve"> king of Cush" had come out to fight against him (2 Kgs 19:9; Isa 37:9). </w:t>
      </w:r>
      <w:proofErr w:type="spellStart"/>
      <w:r>
        <w:t>Taharqa</w:t>
      </w:r>
      <w:proofErr w:type="spellEnd"/>
      <w:r>
        <w:t xml:space="preserve"> (</w:t>
      </w:r>
      <w:proofErr w:type="spellStart"/>
      <w:r>
        <w:t>Tirhakah</w:t>
      </w:r>
      <w:proofErr w:type="spellEnd"/>
      <w:r>
        <w:t xml:space="preserve">), who ruled Egypt and Cush from about 690 to 664 BC, is well known from his monuments in Sudan and Egypt. Isaiah 18 describes the </w:t>
      </w:r>
      <w:proofErr w:type="spellStart"/>
      <w:r>
        <w:t>Cushites</w:t>
      </w:r>
      <w:proofErr w:type="spellEnd"/>
      <w:r>
        <w:t xml:space="preserve"> as a people "tall and smooth", "feared near </w:t>
      </w:r>
      <w:r>
        <w:lastRenderedPageBreak/>
        <w:t>and far", "a nation mighty and conquering". This is an accurate picture of the power of Cush in Isaiah's time.</w:t>
      </w:r>
      <w:r>
        <w:rPr>
          <w:vertAlign w:val="superscript"/>
        </w:rPr>
        <w:t>98</w:t>
      </w:r>
    </w:p>
    <w:p w:rsidR="008E4B08" w:rsidRDefault="00C51EF0">
      <w:pPr>
        <w:spacing w:line="480" w:lineRule="auto"/>
        <w:ind w:firstLine="720"/>
        <w:jc w:val="both"/>
      </w:pPr>
      <w:r>
        <w:t xml:space="preserve">Other </w:t>
      </w:r>
      <w:proofErr w:type="spellStart"/>
      <w:r>
        <w:t>Cushites</w:t>
      </w:r>
      <w:proofErr w:type="spellEnd"/>
      <w:r>
        <w:t xml:space="preserve"> in the Old Testament include the Cushite wife of Moses (</w:t>
      </w:r>
      <w:proofErr w:type="spellStart"/>
      <w:r>
        <w:t>Num</w:t>
      </w:r>
      <w:proofErr w:type="spellEnd"/>
      <w:r>
        <w:t xml:space="preserve"> 12:1), the Cushite who brought David news of Absalom's death (2 Sam 18:21–32), </w:t>
      </w:r>
      <w:proofErr w:type="spellStart"/>
      <w:r>
        <w:t>Ebed-melech</w:t>
      </w:r>
      <w:proofErr w:type="spellEnd"/>
      <w:r>
        <w:t xml:space="preserve"> the Cushite, who rescued Jeremiah from the muddy cistern (</w:t>
      </w:r>
      <w:proofErr w:type="spellStart"/>
      <w:r>
        <w:t>Jer</w:t>
      </w:r>
      <w:proofErr w:type="spellEnd"/>
      <w:r>
        <w:t xml:space="preserve"> 38:7–13; 39:15–18), and </w:t>
      </w:r>
      <w:proofErr w:type="spellStart"/>
      <w:r>
        <w:t>Zerah</w:t>
      </w:r>
      <w:proofErr w:type="spellEnd"/>
      <w:r>
        <w:t xml:space="preserve"> the Cushite (2 </w:t>
      </w:r>
      <w:proofErr w:type="spellStart"/>
      <w:r>
        <w:t>Chr</w:t>
      </w:r>
      <w:proofErr w:type="spellEnd"/>
      <w:r>
        <w:t xml:space="preserve"> 14:9). Zephaniah's father was named </w:t>
      </w:r>
      <w:proofErr w:type="spellStart"/>
      <w:r>
        <w:t>Cushi</w:t>
      </w:r>
      <w:proofErr w:type="spellEnd"/>
      <w:r>
        <w:t xml:space="preserve"> (</w:t>
      </w:r>
      <w:proofErr w:type="spellStart"/>
      <w:r>
        <w:t>Zeph</w:t>
      </w:r>
      <w:proofErr w:type="spellEnd"/>
      <w:r>
        <w:t xml:space="preserve"> 1:1), and the prophet looks forward to worshippers bringing offerings "from beyond the rivers of Cush" (</w:t>
      </w:r>
      <w:proofErr w:type="spellStart"/>
      <w:r>
        <w:t>Zeph</w:t>
      </w:r>
      <w:proofErr w:type="spellEnd"/>
      <w:r>
        <w:t xml:space="preserve"> 3:10). Amos 9:7 places the </w:t>
      </w:r>
      <w:proofErr w:type="spellStart"/>
      <w:r>
        <w:t>Cushites</w:t>
      </w:r>
      <w:proofErr w:type="spellEnd"/>
      <w:r>
        <w:t xml:space="preserve"> and Israel on the same level before God.</w:t>
      </w:r>
    </w:p>
    <w:p w:rsidR="008E4B08" w:rsidRDefault="00C51EF0">
      <w:pPr>
        <w:spacing w:line="480" w:lineRule="auto"/>
        <w:ind w:firstLine="720"/>
        <w:jc w:val="both"/>
      </w:pPr>
      <w:r>
        <w:rPr>
          <w:b/>
          <w:bCs/>
        </w:rPr>
        <w:t>Example.</w:t>
      </w:r>
      <w:r>
        <w:t xml:space="preserve"> </w:t>
      </w:r>
      <w:proofErr w:type="spellStart"/>
      <w:r>
        <w:t>Ebed-melech</w:t>
      </w:r>
      <w:proofErr w:type="spellEnd"/>
      <w:r>
        <w:t xml:space="preserve"> is a model of courage. When the officials of Judah threw Jeremiah into a cistern to die, it was an African court official who spoke up to the king and organised his rescue. God promised to protect him because he trusted in the Lord (</w:t>
      </w:r>
      <w:proofErr w:type="spellStart"/>
      <w:r>
        <w:t>Jer</w:t>
      </w:r>
      <w:proofErr w:type="spellEnd"/>
      <w:r>
        <w:t xml:space="preserve"> 39:18). African believers can see in </w:t>
      </w:r>
      <w:proofErr w:type="spellStart"/>
      <w:r>
        <w:t>Ebed-melech</w:t>
      </w:r>
      <w:proofErr w:type="spellEnd"/>
      <w:r>
        <w:t xml:space="preserve"> an example of faith and courage in public life.</w:t>
      </w:r>
    </w:p>
    <w:p w:rsidR="008E4B08" w:rsidRDefault="00C51EF0">
      <w:pPr>
        <w:pStyle w:val="Heading3"/>
        <w:keepNext/>
        <w:spacing w:before="120" w:after="60" w:line="360" w:lineRule="auto"/>
      </w:pPr>
      <w:r>
        <w:t xml:space="preserve">14.3.3 The Ethiopian Official and the Kingdom of </w:t>
      </w:r>
      <w:proofErr w:type="spellStart"/>
      <w:r>
        <w:t>Meroë</w:t>
      </w:r>
      <w:proofErr w:type="spellEnd"/>
    </w:p>
    <w:p w:rsidR="008E4B08" w:rsidRDefault="00C51EF0">
      <w:pPr>
        <w:spacing w:line="480" w:lineRule="auto"/>
        <w:jc w:val="both"/>
      </w:pPr>
      <w:r>
        <w:t xml:space="preserve">In Acts 8:26–40, Philip meets "an Ethiopian, a eunuch, a court official of Candace, queen of the Ethiopians". This "Ethiopia" is the kingdom of </w:t>
      </w:r>
      <w:proofErr w:type="spellStart"/>
      <w:r>
        <w:t>Meroë</w:t>
      </w:r>
      <w:proofErr w:type="spellEnd"/>
      <w:r>
        <w:t xml:space="preserve"> in Nubia. Archaeology and ancient writers confirm that </w:t>
      </w:r>
      <w:proofErr w:type="spellStart"/>
      <w:r>
        <w:t>Meroë</w:t>
      </w:r>
      <w:proofErr w:type="spellEnd"/>
      <w:r>
        <w:t xml:space="preserve"> was ruled by queens with the title </w:t>
      </w:r>
      <w:proofErr w:type="spellStart"/>
      <w:r>
        <w:rPr>
          <w:i/>
          <w:iCs/>
        </w:rPr>
        <w:t>kandake</w:t>
      </w:r>
      <w:proofErr w:type="spellEnd"/>
      <w:r>
        <w:t xml:space="preserve"> (Candace), several of whom are known from inscriptions, carvings and pyramids at </w:t>
      </w:r>
      <w:proofErr w:type="spellStart"/>
      <w:r>
        <w:t>Meroë</w:t>
      </w:r>
      <w:proofErr w:type="spellEnd"/>
      <w:r>
        <w:t>. The baptism of this official shows that the gospel reached Africa at the very beginning of the Christian mission, even before the conversion of the Gentile Cornelius in Acts 10.</w:t>
      </w:r>
    </w:p>
    <w:p w:rsidR="008E4B08" w:rsidRDefault="00C51EF0">
      <w:pPr>
        <w:pStyle w:val="Heading3"/>
        <w:keepNext/>
        <w:spacing w:before="120" w:after="60" w:line="360" w:lineRule="auto"/>
      </w:pPr>
      <w:r>
        <w:t>14.3.4 Other Africans in the New Testament</w:t>
      </w:r>
    </w:p>
    <w:p w:rsidR="008E4B08" w:rsidRDefault="00C51EF0">
      <w:pPr>
        <w:spacing w:line="480" w:lineRule="auto"/>
        <w:jc w:val="both"/>
      </w:pPr>
      <w:r>
        <w:t xml:space="preserve">Simon of Cyrene, in modern Libya, carried the cross of Jesus (Mark 15:21). People from Egypt and from "the parts of Libya belonging to Cyrene" were present at Pentecost (Acts 2:10). Among the prophets and teachers of the church at Antioch were "Simeon who was called Niger" and "Lucius of Cyrene" (Acts 13:1). North Africa later became a heartland of early Christianity, producing leaders such as Tertullian, Cyprian and Augustine, while Egypt </w:t>
      </w:r>
      <w:r>
        <w:lastRenderedPageBreak/>
        <w:t xml:space="preserve">produced Clement, Origen and Athanasius and gave birth to Christian monasticism. Ethiopia accepted Christianity in the fourth century under King </w:t>
      </w:r>
      <w:proofErr w:type="spellStart"/>
      <w:r>
        <w:t>Ezana</w:t>
      </w:r>
      <w:proofErr w:type="spellEnd"/>
      <w:r>
        <w:t xml:space="preserve"> of Aksum, whose inscriptions and coins replaced pagan symbols with the cross.</w:t>
      </w:r>
    </w:p>
    <w:p w:rsidR="008E4B08" w:rsidRDefault="00C51EF0">
      <w:pPr>
        <w:pStyle w:val="Heading2"/>
        <w:keepNext/>
        <w:spacing w:before="240" w:after="120" w:line="360" w:lineRule="auto"/>
      </w:pPr>
      <w:bookmarkStart w:id="184" w:name="_Toc241908545"/>
      <w:r>
        <w:t>14.4 African Scholarship on Africa in the Bible</w:t>
      </w:r>
      <w:bookmarkEnd w:id="184"/>
    </w:p>
    <w:p w:rsidR="008E4B08" w:rsidRDefault="00C51EF0">
      <w:pPr>
        <w:spacing w:line="480" w:lineRule="auto"/>
        <w:jc w:val="both"/>
      </w:pPr>
      <w:r>
        <w:t xml:space="preserve">Several African scholars have drawn attention to Africa's presence in the Bible. David Tuesday </w:t>
      </w:r>
      <w:proofErr w:type="spellStart"/>
      <w:r>
        <w:t>Adamo</w:t>
      </w:r>
      <w:proofErr w:type="spellEnd"/>
      <w:r>
        <w:t xml:space="preserve">, a Nigerian Old Testament scholar, has argued that Western scholarship has often </w:t>
      </w:r>
      <w:proofErr w:type="spellStart"/>
      <w:r>
        <w:t>minimised</w:t>
      </w:r>
      <w:proofErr w:type="spellEnd"/>
      <w:r>
        <w:t xml:space="preserve"> or "de-</w:t>
      </w:r>
      <w:proofErr w:type="spellStart"/>
      <w:r>
        <w:t>Africanised</w:t>
      </w:r>
      <w:proofErr w:type="spellEnd"/>
      <w:r>
        <w:t>" the references to Cush and Africans in the Old Testament, and he has studied these references in detail.</w:t>
      </w:r>
      <w:r>
        <w:rPr>
          <w:vertAlign w:val="superscript"/>
        </w:rPr>
        <w:t>99</w:t>
      </w:r>
      <w:r>
        <w:t xml:space="preserve"> The Norwegian scholar Knut </w:t>
      </w:r>
      <w:proofErr w:type="spellStart"/>
      <w:r>
        <w:t>Holter</w:t>
      </w:r>
      <w:proofErr w:type="spellEnd"/>
      <w:r>
        <w:t>, who has worked closely with African scholars, has surveyed Old Testament scholarship in Africa and encouraged its growth.</w:t>
      </w:r>
      <w:r>
        <w:rPr>
          <w:vertAlign w:val="superscript"/>
        </w:rPr>
        <w:t>100</w:t>
      </w:r>
      <w:r>
        <w:t xml:space="preserve"> African-American scholars such as Cain Hope Felder have also contributed.</w:t>
      </w:r>
    </w:p>
    <w:p w:rsidR="008E4B08" w:rsidRDefault="00C51EF0">
      <w:pPr>
        <w:spacing w:line="480" w:lineRule="auto"/>
        <w:ind w:firstLine="720"/>
        <w:jc w:val="both"/>
      </w:pPr>
      <w:r>
        <w:t xml:space="preserve">Edwin Yamauchi's </w:t>
      </w:r>
      <w:r>
        <w:rPr>
          <w:i/>
          <w:iCs/>
        </w:rPr>
        <w:t>Africa and the Bible</w:t>
      </w:r>
      <w:r>
        <w:t xml:space="preserve"> gives a careful survey of the historical and archaeological evidence. It is valuable for its scholarly care, including its criticism of exaggerated claims, such as attempts to identify many biblical figures as black Africans on weak evidence. African scholarship is strongest when it combines a proper concern to correct Western neglect with the same careful standards that it rightly expects of others.</w:t>
      </w:r>
    </w:p>
    <w:p w:rsidR="008E4B08" w:rsidRDefault="00C51EF0">
      <w:pPr>
        <w:pStyle w:val="Heading2"/>
        <w:keepNext/>
        <w:spacing w:before="240" w:after="120" w:line="360" w:lineRule="auto"/>
      </w:pPr>
      <w:bookmarkStart w:id="185" w:name="_Toc241908546"/>
      <w:r>
        <w:t>14.5 African Contributions to Archaeological Thinking</w:t>
      </w:r>
      <w:bookmarkEnd w:id="185"/>
    </w:p>
    <w:p w:rsidR="008E4B08" w:rsidRDefault="00C51EF0">
      <w:pPr>
        <w:spacing w:line="480" w:lineRule="auto"/>
        <w:jc w:val="both"/>
      </w:pPr>
      <w:r>
        <w:t xml:space="preserve">Africa also offers important resources for interpreting archaeology. The study of African oral traditions by historians such as Jan </w:t>
      </w:r>
      <w:proofErr w:type="spellStart"/>
      <w:r>
        <w:t>Vansina</w:t>
      </w:r>
      <w:proofErr w:type="spellEnd"/>
      <w:r>
        <w:t xml:space="preserve"> has shown how societies without writing preserve and reshape historical memory over generations.</w:t>
      </w:r>
      <w:r>
        <w:rPr>
          <w:vertAlign w:val="superscript"/>
        </w:rPr>
        <w:t>101</w:t>
      </w:r>
      <w:r>
        <w:t xml:space="preserve"> </w:t>
      </w:r>
      <w:proofErr w:type="spellStart"/>
      <w:r>
        <w:t>Ethnoarchaeology</w:t>
      </w:r>
      <w:proofErr w:type="spellEnd"/>
      <w:r>
        <w:t>, the study of living societies to help understand the remains of past ones, has drawn on African village life, herding and pottery making. African scholars who know at first hand societies with extended families, clans, herding migrations, sacred places, ancestral obligations and spoken genealogies are well placed to interpret similar features in ancient Israel.</w:t>
      </w:r>
    </w:p>
    <w:p w:rsidR="008E4B08" w:rsidRDefault="00C51EF0">
      <w:pPr>
        <w:spacing w:line="480" w:lineRule="auto"/>
        <w:ind w:firstLine="720"/>
        <w:jc w:val="both"/>
      </w:pPr>
      <w:r>
        <w:rPr>
          <w:b/>
          <w:bCs/>
        </w:rPr>
        <w:lastRenderedPageBreak/>
        <w:t>Example.</w:t>
      </w:r>
      <w:r>
        <w:t xml:space="preserve"> A Nigerian scholar who has watched women in a village make pots by hand, shape them without a wheel and fire them in an open fire can better understand how ancient Israelite pottery was made and why its style changed slowly. Such everyday African knowledge can enrich biblical archaeology.</w:t>
      </w:r>
    </w:p>
    <w:p w:rsidR="008E4B08" w:rsidRDefault="00C51EF0">
      <w:pPr>
        <w:pStyle w:val="Heading2"/>
        <w:keepNext/>
        <w:spacing w:before="240" w:after="120" w:line="360" w:lineRule="auto"/>
      </w:pPr>
      <w:bookmarkStart w:id="186" w:name="_Toc241908547"/>
      <w:r>
        <w:t>14.6 The Use and Misuse of Archaeology in the African Church</w:t>
      </w:r>
      <w:bookmarkEnd w:id="186"/>
    </w:p>
    <w:p w:rsidR="008E4B08" w:rsidRDefault="00C51EF0">
      <w:pPr>
        <w:pStyle w:val="Heading3"/>
        <w:keepNext/>
        <w:spacing w:before="120" w:after="60" w:line="360" w:lineRule="auto"/>
      </w:pPr>
      <w:r>
        <w:t>14.6.1 Pilgrimage</w:t>
      </w:r>
    </w:p>
    <w:p w:rsidR="008E4B08" w:rsidRDefault="00C51EF0">
      <w:pPr>
        <w:spacing w:line="480" w:lineRule="auto"/>
        <w:jc w:val="both"/>
      </w:pPr>
      <w:r>
        <w:t>Many Nigerian Christians travel to Israel and Jordan on pilgrimage, many with government support through the Nigeria Christian Pilgrim Commission. Pilgrimage can deepen faith and knowledge of the Bible when it is well prepared. Too often, however, pilgrims receive little teaching about the history and archaeology of the sites they visit, and places of uncertain authenticity are presented as certain. Theological institutions can help by training pastors and pilgrimage leaders to explain the evidence honestly, distinguishing between sites that are well established, such as Capernaum, the Pool of Siloam and the Temple Mount, and those that rest only on later tradition.</w:t>
      </w:r>
    </w:p>
    <w:p w:rsidR="008E4B08" w:rsidRDefault="00C51EF0">
      <w:pPr>
        <w:pStyle w:val="Heading3"/>
        <w:keepNext/>
        <w:spacing w:before="120" w:after="60" w:line="360" w:lineRule="auto"/>
      </w:pPr>
      <w:r>
        <w:t>14.6.2 Preaching and Popular Teaching</w:t>
      </w:r>
    </w:p>
    <w:p w:rsidR="008E4B08" w:rsidRDefault="00C51EF0">
      <w:pPr>
        <w:spacing w:line="480" w:lineRule="auto"/>
        <w:jc w:val="both"/>
      </w:pPr>
      <w:r>
        <w:t>Claims about archaeology spread widely in African churches through sermons, videos and social media. Some are sound; many are exaggerated or false. Examples include claims that Noah's ark has been found on Mount Ararat, that chariot wheels from the exodus have been found in the Red Sea, or that skeletons of giants have been discovered. Ron Wyatt, an American amateur whose claims to have found the ark, the place of the Red Sea crossing and the ark of the covenant are rejected by archaeologists of all backgrounds, remains influential through internet videos. Preachers who repeat such claims expose the gospel to ridicule when educated listeners discover that they are untrue.</w:t>
      </w:r>
    </w:p>
    <w:p w:rsidR="008E4B08" w:rsidRDefault="00C51EF0">
      <w:pPr>
        <w:spacing w:line="480" w:lineRule="auto"/>
        <w:ind w:firstLine="720"/>
        <w:jc w:val="both"/>
      </w:pPr>
      <w:r>
        <w:rPr>
          <w:b/>
          <w:bCs/>
        </w:rPr>
        <w:t>Example.</w:t>
      </w:r>
      <w:r>
        <w:t xml:space="preserve"> A young university student hears his pastor say that Noah's ark has been found. Later, in his studies, he learns that the claim is false. He may then begin to doubt </w:t>
      </w:r>
      <w:r>
        <w:lastRenderedPageBreak/>
        <w:t>everything else the pastor taught him, including the gospel. Careless use of archaeology can damage faith rather than build it.</w:t>
      </w:r>
    </w:p>
    <w:p w:rsidR="008E4B08" w:rsidRDefault="00C51EF0">
      <w:pPr>
        <w:spacing w:line="480" w:lineRule="auto"/>
        <w:ind w:firstLine="720"/>
        <w:jc w:val="both"/>
      </w:pPr>
      <w:r>
        <w:t>Responsible use of archaeology in preaching involves:</w:t>
      </w:r>
    </w:p>
    <w:p w:rsidR="008E4B08" w:rsidRDefault="00C51EF0">
      <w:pPr>
        <w:pStyle w:val="ListParagraph"/>
        <w:numPr>
          <w:ilvl w:val="0"/>
          <w:numId w:val="2"/>
        </w:numPr>
        <w:spacing w:line="480" w:lineRule="auto"/>
        <w:jc w:val="both"/>
      </w:pPr>
      <w:r>
        <w:t>using archaeological information to explain the setting and meaning of the text;</w:t>
      </w:r>
    </w:p>
    <w:p w:rsidR="008E4B08" w:rsidRDefault="00C51EF0">
      <w:pPr>
        <w:pStyle w:val="ListParagraph"/>
        <w:numPr>
          <w:ilvl w:val="0"/>
          <w:numId w:val="2"/>
        </w:numPr>
        <w:spacing w:line="480" w:lineRule="auto"/>
        <w:jc w:val="both"/>
      </w:pPr>
      <w:r>
        <w:t>quoting well-established discoveries accurately;</w:t>
      </w:r>
    </w:p>
    <w:p w:rsidR="008E4B08" w:rsidRDefault="00C51EF0">
      <w:pPr>
        <w:pStyle w:val="ListParagraph"/>
        <w:numPr>
          <w:ilvl w:val="0"/>
          <w:numId w:val="2"/>
        </w:numPr>
        <w:spacing w:line="480" w:lineRule="auto"/>
        <w:jc w:val="both"/>
      </w:pPr>
      <w:r>
        <w:t>avoiding sensational claims that cannot be checked in scholarly sources;</w:t>
      </w:r>
    </w:p>
    <w:p w:rsidR="008E4B08" w:rsidRDefault="00C51EF0">
      <w:pPr>
        <w:pStyle w:val="ListParagraph"/>
        <w:numPr>
          <w:ilvl w:val="0"/>
          <w:numId w:val="2"/>
        </w:numPr>
        <w:spacing w:line="480" w:lineRule="auto"/>
        <w:jc w:val="both"/>
      </w:pPr>
      <w:r>
        <w:t>admitting uncertainty and debate where they exist; and</w:t>
      </w:r>
    </w:p>
    <w:p w:rsidR="008E4B08" w:rsidRDefault="00C51EF0">
      <w:pPr>
        <w:pStyle w:val="ListParagraph"/>
        <w:numPr>
          <w:ilvl w:val="0"/>
          <w:numId w:val="2"/>
        </w:numPr>
        <w:spacing w:line="480" w:lineRule="auto"/>
        <w:jc w:val="both"/>
      </w:pPr>
      <w:proofErr w:type="gramStart"/>
      <w:r>
        <w:t>keeping</w:t>
      </w:r>
      <w:proofErr w:type="gramEnd"/>
      <w:r>
        <w:t xml:space="preserve"> the focus on the message of the text rather than on archaeology as proof.</w:t>
      </w:r>
    </w:p>
    <w:p w:rsidR="008E4B08" w:rsidRDefault="00C51EF0">
      <w:pPr>
        <w:pStyle w:val="Heading3"/>
        <w:keepNext/>
        <w:spacing w:before="120" w:after="60" w:line="360" w:lineRule="auto"/>
      </w:pPr>
      <w:r>
        <w:t>14.6.3 Apologetics</w:t>
      </w:r>
    </w:p>
    <w:p w:rsidR="008E4B08" w:rsidRDefault="00C51EF0">
      <w:pPr>
        <w:spacing w:line="480" w:lineRule="auto"/>
        <w:jc w:val="both"/>
      </w:pPr>
      <w:r>
        <w:t xml:space="preserve">African Christians increasingly face challenges to their faith from secular </w:t>
      </w:r>
      <w:proofErr w:type="spellStart"/>
      <w:r>
        <w:t>scepticism</w:t>
      </w:r>
      <w:proofErr w:type="spellEnd"/>
      <w:r>
        <w:t>, Islamic arguments and renewed interest in traditional religion. Archaeology can play a modest but useful part in defending the faith by showing that the Bible is rooted in real history and real places, and by answering particular objections, such as the claim that the kings and governors of the Bible never existed. Good apologetics, however, must be honest about difficult cases such as Jericho and Ai, and must not claim more than the evidence allows.</w:t>
      </w:r>
    </w:p>
    <w:p w:rsidR="008E4B08" w:rsidRDefault="00C51EF0">
      <w:pPr>
        <w:pStyle w:val="Heading3"/>
        <w:keepNext/>
        <w:spacing w:before="120" w:after="60" w:line="360" w:lineRule="auto"/>
      </w:pPr>
      <w:r>
        <w:t>14.6.4 Prosperity Teaching</w:t>
      </w:r>
    </w:p>
    <w:p w:rsidR="008E4B08" w:rsidRDefault="00C51EF0">
      <w:pPr>
        <w:spacing w:line="480" w:lineRule="auto"/>
        <w:jc w:val="both"/>
      </w:pPr>
      <w:r>
        <w:t xml:space="preserve">Some popular teaching uses discoveries about the wealth of Solomon or the Queen of Sheba to support prosperity teaching. Students should </w:t>
      </w:r>
      <w:proofErr w:type="spellStart"/>
      <w:r>
        <w:t>recognise</w:t>
      </w:r>
      <w:proofErr w:type="spellEnd"/>
      <w:r>
        <w:t xml:space="preserve"> that archaeological descriptions of ancient wealth do not establish what God wills for believers today. In fact, archaeology shows that most people in the biblical world were poor farmers, and that the prophets condemned the luxury of the rich when it was built on the oppression of the poor (Amos 6:4–6).</w:t>
      </w:r>
    </w:p>
    <w:p w:rsidR="008E4B08" w:rsidRDefault="00C51EF0">
      <w:pPr>
        <w:pStyle w:val="Heading2"/>
        <w:keepNext/>
        <w:spacing w:before="240" w:after="120" w:line="360" w:lineRule="auto"/>
      </w:pPr>
      <w:bookmarkStart w:id="187" w:name="_Toc241908548"/>
      <w:r>
        <w:t>14.7 Strengthening Biblical Archaeology in African Theological Education</w:t>
      </w:r>
      <w:bookmarkEnd w:id="187"/>
    </w:p>
    <w:p w:rsidR="008E4B08" w:rsidRDefault="00C51EF0">
      <w:pPr>
        <w:spacing w:line="480" w:lineRule="auto"/>
        <w:jc w:val="both"/>
      </w:pPr>
      <w:r>
        <w:t>Biblical archaeology is underdeveloped in African theological institutions. Few have specialist teachers, libraries are often weak in archaeological literature, and the cost of travel limits opportunities for fieldwork. The following steps are recommended:</w:t>
      </w:r>
    </w:p>
    <w:p w:rsidR="008E4B08" w:rsidRDefault="00C51EF0">
      <w:pPr>
        <w:tabs>
          <w:tab w:val="left" w:pos="720"/>
        </w:tabs>
        <w:spacing w:line="480" w:lineRule="auto"/>
        <w:ind w:left="720" w:hanging="360"/>
        <w:jc w:val="both"/>
      </w:pPr>
      <w:r>
        <w:lastRenderedPageBreak/>
        <w:t>1.</w:t>
      </w:r>
      <w:r>
        <w:tab/>
      </w:r>
      <w:r>
        <w:rPr>
          <w:b/>
          <w:bCs/>
        </w:rPr>
        <w:t>Curriculum.</w:t>
      </w:r>
      <w:r>
        <w:t xml:space="preserve"> Include biblical archaeology and the history of the ancient Near East in bachelor's, </w:t>
      </w:r>
      <w:proofErr w:type="gramStart"/>
      <w:r>
        <w:t>master's</w:t>
      </w:r>
      <w:proofErr w:type="gramEnd"/>
      <w:r>
        <w:t xml:space="preserve"> and doctoral programmes in biblical studies.</w:t>
      </w:r>
    </w:p>
    <w:p w:rsidR="008E4B08" w:rsidRDefault="00C51EF0">
      <w:pPr>
        <w:tabs>
          <w:tab w:val="left" w:pos="720"/>
        </w:tabs>
        <w:spacing w:line="480" w:lineRule="auto"/>
        <w:ind w:left="720" w:hanging="360"/>
        <w:jc w:val="both"/>
      </w:pPr>
      <w:r>
        <w:t>2.</w:t>
      </w:r>
      <w:r>
        <w:tab/>
      </w:r>
      <w:r>
        <w:rPr>
          <w:b/>
          <w:bCs/>
        </w:rPr>
        <w:t>Library resources.</w:t>
      </w:r>
      <w:r>
        <w:t xml:space="preserve"> Acquire key reference books and subscribe to journals and online databases. Free online resources, such as excavation websites and museum collections, can partly make up for limited budgets.</w:t>
      </w:r>
    </w:p>
    <w:p w:rsidR="008E4B08" w:rsidRDefault="00C51EF0">
      <w:pPr>
        <w:tabs>
          <w:tab w:val="left" w:pos="720"/>
        </w:tabs>
        <w:spacing w:line="480" w:lineRule="auto"/>
        <w:ind w:left="720" w:hanging="360"/>
        <w:jc w:val="both"/>
      </w:pPr>
      <w:r>
        <w:t>3.</w:t>
      </w:r>
      <w:r>
        <w:tab/>
      </w:r>
      <w:r>
        <w:rPr>
          <w:b/>
          <w:bCs/>
        </w:rPr>
        <w:t>Fieldwork.</w:t>
      </w:r>
      <w:r>
        <w:t xml:space="preserve"> Build partnerships with excavation projects in Israel, Jordan, Egypt and Sudan that accept international volunteers and students, and seek scholarships to help African students take part.</w:t>
      </w:r>
    </w:p>
    <w:p w:rsidR="008E4B08" w:rsidRDefault="00C51EF0">
      <w:pPr>
        <w:tabs>
          <w:tab w:val="left" w:pos="720"/>
        </w:tabs>
        <w:spacing w:line="480" w:lineRule="auto"/>
        <w:ind w:left="720" w:hanging="360"/>
        <w:jc w:val="both"/>
      </w:pPr>
      <w:r>
        <w:t>4.</w:t>
      </w:r>
      <w:r>
        <w:tab/>
      </w:r>
      <w:r>
        <w:rPr>
          <w:b/>
          <w:bCs/>
        </w:rPr>
        <w:t>Research.</w:t>
      </w:r>
      <w:r>
        <w:t xml:space="preserve"> Encourage doctoral research on topics where African scholars have special insight, such as Africa in the Bible, oral tradition and history writing, comparisons between ancient Israelite and African social customs, and the ethics of cultural heritage.</w:t>
      </w:r>
    </w:p>
    <w:p w:rsidR="008E4B08" w:rsidRDefault="00C51EF0">
      <w:pPr>
        <w:tabs>
          <w:tab w:val="left" w:pos="720"/>
        </w:tabs>
        <w:spacing w:line="480" w:lineRule="auto"/>
        <w:ind w:left="720" w:hanging="360"/>
        <w:jc w:val="both"/>
      </w:pPr>
      <w:r>
        <w:t>5.</w:t>
      </w:r>
      <w:r>
        <w:tab/>
      </w:r>
      <w:r>
        <w:rPr>
          <w:b/>
          <w:bCs/>
        </w:rPr>
        <w:t>African archaeology.</w:t>
      </w:r>
      <w:r>
        <w:t xml:space="preserve"> Build links with Nigerian and other African archaeologists working on sites such as </w:t>
      </w:r>
      <w:proofErr w:type="spellStart"/>
      <w:r>
        <w:t>Nok</w:t>
      </w:r>
      <w:proofErr w:type="spellEnd"/>
      <w:r>
        <w:t>, Igbo-</w:t>
      </w:r>
      <w:proofErr w:type="spellStart"/>
      <w:r>
        <w:t>Ukwu</w:t>
      </w:r>
      <w:proofErr w:type="spellEnd"/>
      <w:r>
        <w:t>, Ife, Benin and the Nubian kingdoms, so that biblical scholars can learn archaeological method in their own context.</w:t>
      </w:r>
    </w:p>
    <w:p w:rsidR="008E4B08" w:rsidRDefault="00C51EF0">
      <w:pPr>
        <w:tabs>
          <w:tab w:val="left" w:pos="720"/>
        </w:tabs>
        <w:spacing w:line="480" w:lineRule="auto"/>
        <w:ind w:left="720" w:hanging="360"/>
        <w:jc w:val="both"/>
      </w:pPr>
      <w:r>
        <w:t>6.</w:t>
      </w:r>
      <w:r>
        <w:tab/>
      </w:r>
      <w:r>
        <w:rPr>
          <w:b/>
          <w:bCs/>
        </w:rPr>
        <w:t>Church education.</w:t>
      </w:r>
      <w:r>
        <w:t xml:space="preserve"> Produce simple and accurate materials on archaeology and the Bible for pastors and church members.</w:t>
      </w:r>
    </w:p>
    <w:p w:rsidR="008E4B08" w:rsidRDefault="00C51EF0">
      <w:pPr>
        <w:pStyle w:val="Heading2"/>
        <w:keepNext/>
        <w:spacing w:before="240" w:after="120" w:line="360" w:lineRule="auto"/>
      </w:pPr>
      <w:bookmarkStart w:id="188" w:name="_Toc241908549"/>
      <w:r>
        <w:t>14.8 Conclusion of the Course</w:t>
      </w:r>
      <w:bookmarkEnd w:id="188"/>
    </w:p>
    <w:p w:rsidR="008E4B08" w:rsidRDefault="00C51EF0">
      <w:pPr>
        <w:spacing w:line="480" w:lineRule="auto"/>
        <w:jc w:val="both"/>
      </w:pPr>
      <w:r>
        <w:t xml:space="preserve">This course has surveyed the history, methods and debates of biblical archaeology and traced its contribution to each period of biblical history. Several themes have appeared again and again. Archaeology is an independent witness to the biblical world that must be interpreted with care. It has shed light on the setting of the Bible in countless ways, and it has given striking confirmation of many people and events, especially from the time of the divided kingdom onwards and in the New Testament. It has also raised difficult questions, especially for the earliest periods, which require honest and careful study. It can neither prove nor disprove the theological claims of Scripture, but it shows that biblical faith is rooted in real history. For the </w:t>
      </w:r>
      <w:r>
        <w:lastRenderedPageBreak/>
        <w:t>African church, archaeology offers both a resource for faithful teaching and a call to intellectual honesty. Doctoral students are invited to join this conversation, bringing African perspectives and Christian convictions to the careful study of the world of the Bible.</w:t>
      </w:r>
    </w:p>
    <w:p w:rsidR="008E4B08" w:rsidRDefault="00C51EF0">
      <w:pPr>
        <w:pStyle w:val="Heading2"/>
        <w:keepNext/>
        <w:spacing w:before="240" w:after="120" w:line="360" w:lineRule="auto"/>
      </w:pPr>
      <w:bookmarkStart w:id="189" w:name="_Toc241908550"/>
      <w:r>
        <w:t>14.9 Summary</w:t>
      </w:r>
      <w:bookmarkEnd w:id="189"/>
    </w:p>
    <w:p w:rsidR="008E4B08" w:rsidRDefault="00C51EF0">
      <w:pPr>
        <w:spacing w:line="480" w:lineRule="auto"/>
        <w:jc w:val="both"/>
      </w:pPr>
      <w:r>
        <w:t xml:space="preserve">Africa is an integral part of the biblical world. Egypt and Cush are well attested in both the Bible and archaeology, and Africans appear prominently in both Testaments, from </w:t>
      </w:r>
      <w:proofErr w:type="spellStart"/>
      <w:r>
        <w:t>Ebed-melech</w:t>
      </w:r>
      <w:proofErr w:type="spellEnd"/>
      <w:r>
        <w:t xml:space="preserve"> the Cushite to the Ethiopian official of Acts 8. African scholars have rightly drawn attention to this presence and have special contributions to make to archaeological interpretation. The African church must use archaeology responsibly in pilgrimage, preaching and apologetics, avoiding sensational claims. Theological institutions should strengthen the study of biblical archaeology through curriculum development, library resources, fieldwork partnerships and research.</w:t>
      </w:r>
    </w:p>
    <w:p w:rsidR="008E4B08" w:rsidRDefault="00C51EF0">
      <w:pPr>
        <w:pStyle w:val="Heading2"/>
        <w:keepNext/>
        <w:spacing w:before="240" w:after="120" w:line="360" w:lineRule="auto"/>
      </w:pPr>
      <w:bookmarkStart w:id="190" w:name="_Toc241908551"/>
      <w:r>
        <w:t>14.10 Life Application</w:t>
      </w:r>
      <w:bookmarkEnd w:id="190"/>
    </w:p>
    <w:p w:rsidR="008E4B08" w:rsidRDefault="00C51EF0">
      <w:pPr>
        <w:spacing w:line="480" w:lineRule="auto"/>
        <w:jc w:val="both"/>
      </w:pPr>
      <w:r>
        <w:t>This final unit calls African believers to discover their place in the biblical story and to serve the church through faithful scholarship.</w:t>
      </w:r>
    </w:p>
    <w:p w:rsidR="008E4B08" w:rsidRDefault="00C51EF0">
      <w:pPr>
        <w:pStyle w:val="ListParagraph"/>
        <w:numPr>
          <w:ilvl w:val="0"/>
          <w:numId w:val="2"/>
        </w:numPr>
        <w:spacing w:line="480" w:lineRule="auto"/>
        <w:jc w:val="both"/>
      </w:pPr>
      <w:r>
        <w:rPr>
          <w:b/>
          <w:bCs/>
        </w:rPr>
        <w:t>Africa belongs in the story.</w:t>
      </w:r>
      <w:r>
        <w:t xml:space="preserve"> </w:t>
      </w:r>
      <w:proofErr w:type="spellStart"/>
      <w:r>
        <w:t>Cushites</w:t>
      </w:r>
      <w:proofErr w:type="spellEnd"/>
      <w:r>
        <w:t xml:space="preserve">, Egyptians and Ethiopians appear throughout Scripture, often as people of faith and courage like </w:t>
      </w:r>
      <w:proofErr w:type="spellStart"/>
      <w:r>
        <w:t>Ebed-melech</w:t>
      </w:r>
      <w:proofErr w:type="spellEnd"/>
      <w:r>
        <w:t>. African believers can read the Bible as a book in which their continent is present.</w:t>
      </w:r>
    </w:p>
    <w:p w:rsidR="008E4B08" w:rsidRDefault="00C51EF0">
      <w:pPr>
        <w:pStyle w:val="ListParagraph"/>
        <w:numPr>
          <w:ilvl w:val="0"/>
          <w:numId w:val="2"/>
        </w:numPr>
        <w:spacing w:line="480" w:lineRule="auto"/>
        <w:jc w:val="both"/>
      </w:pPr>
      <w:r>
        <w:rPr>
          <w:b/>
          <w:bCs/>
        </w:rPr>
        <w:t>Preach with integrity.</w:t>
      </w:r>
      <w:r>
        <w:t xml:space="preserve"> Pastors should use archaeology to explain the text, not to entertain with unproven claims. Integrity in the pulpit protects the gospel from ridicule.</w:t>
      </w:r>
    </w:p>
    <w:p w:rsidR="008E4B08" w:rsidRDefault="00C51EF0">
      <w:pPr>
        <w:pStyle w:val="ListParagraph"/>
        <w:numPr>
          <w:ilvl w:val="0"/>
          <w:numId w:val="2"/>
        </w:numPr>
        <w:spacing w:line="480" w:lineRule="auto"/>
        <w:jc w:val="both"/>
      </w:pPr>
      <w:r>
        <w:rPr>
          <w:b/>
          <w:bCs/>
        </w:rPr>
        <w:t>Pilgrimage should lead to transformation.</w:t>
      </w:r>
      <w:r>
        <w:t xml:space="preserve"> A visit to the Holy Land is valuable only if it deepens love for God and </w:t>
      </w:r>
      <w:proofErr w:type="spellStart"/>
      <w:r>
        <w:t>neighbour</w:t>
      </w:r>
      <w:proofErr w:type="spellEnd"/>
      <w:r>
        <w:t>. Pilgrims should return as better disciples, not merely as tourists with souvenirs.</w:t>
      </w:r>
    </w:p>
    <w:p w:rsidR="008E4B08" w:rsidRDefault="00C51EF0">
      <w:pPr>
        <w:pStyle w:val="ListParagraph"/>
        <w:numPr>
          <w:ilvl w:val="0"/>
          <w:numId w:val="2"/>
        </w:numPr>
        <w:spacing w:line="480" w:lineRule="auto"/>
        <w:jc w:val="both"/>
      </w:pPr>
      <w:r>
        <w:rPr>
          <w:b/>
          <w:bCs/>
        </w:rPr>
        <w:lastRenderedPageBreak/>
        <w:t>Invest in learning.</w:t>
      </w:r>
      <w:r>
        <w:t xml:space="preserve"> Theological institutions and churches should invest in libraries, training and research, so that the African church can contribute fully to biblical scholarship.</w:t>
      </w:r>
    </w:p>
    <w:p w:rsidR="008E4B08" w:rsidRDefault="00C51EF0">
      <w:pPr>
        <w:pStyle w:val="ListParagraph"/>
        <w:numPr>
          <w:ilvl w:val="0"/>
          <w:numId w:val="2"/>
        </w:numPr>
        <w:spacing w:line="480" w:lineRule="auto"/>
        <w:jc w:val="both"/>
      </w:pPr>
      <w:r>
        <w:rPr>
          <w:b/>
          <w:bCs/>
        </w:rPr>
        <w:t>Let the Word, not wealth, be the treasure.</w:t>
      </w:r>
      <w:r>
        <w:t xml:space="preserve"> Archaeology shows that the prophets condemned luxury built on oppression. The true treasure of the church is Christ and his Word.</w:t>
      </w:r>
    </w:p>
    <w:p w:rsidR="008E4B08" w:rsidRDefault="00C51EF0">
      <w:pPr>
        <w:pStyle w:val="Heading3"/>
        <w:keepNext/>
        <w:spacing w:before="120" w:after="60" w:line="360" w:lineRule="auto"/>
      </w:pPr>
      <w:r>
        <w:t>Prayer</w:t>
      </w:r>
    </w:p>
    <w:p w:rsidR="008E4B08" w:rsidRDefault="00C51EF0">
      <w:pPr>
        <w:spacing w:line="480" w:lineRule="auto"/>
        <w:ind w:left="360" w:right="360"/>
        <w:jc w:val="both"/>
      </w:pPr>
      <w:r>
        <w:rPr>
          <w:i/>
          <w:iCs/>
        </w:rPr>
        <w:t>Lord God, thank you for including Africa in the story of your salvation from the beginning. Make me a faithful student and an honest teacher of your Word. Use the African church to bless the nations with sound doctrine, holy living and excellent scholarship. Let Christ be my treasure above all else. In Jesus' name. Amen.</w:t>
      </w:r>
    </w:p>
    <w:p w:rsidR="008E4B08" w:rsidRDefault="00C51EF0">
      <w:pPr>
        <w:pStyle w:val="Heading2"/>
        <w:keepNext/>
        <w:spacing w:before="240" w:after="120" w:line="360" w:lineRule="auto"/>
      </w:pPr>
      <w:bookmarkStart w:id="191" w:name="_Toc241908552"/>
      <w:r>
        <w:t>14.11 Discussion Questions</w:t>
      </w:r>
      <w:bookmarkEnd w:id="191"/>
    </w:p>
    <w:p w:rsidR="008E4B08" w:rsidRDefault="00C51EF0">
      <w:pPr>
        <w:tabs>
          <w:tab w:val="left" w:pos="720"/>
        </w:tabs>
        <w:spacing w:line="480" w:lineRule="auto"/>
        <w:ind w:left="720" w:hanging="360"/>
        <w:jc w:val="both"/>
      </w:pPr>
      <w:r>
        <w:t>1.</w:t>
      </w:r>
      <w:r>
        <w:tab/>
        <w:t>Assess the archaeological evidence for the kingdom of Cush and its relevance to the Old Testament.</w:t>
      </w:r>
    </w:p>
    <w:p w:rsidR="008E4B08" w:rsidRDefault="00C51EF0">
      <w:pPr>
        <w:tabs>
          <w:tab w:val="left" w:pos="720"/>
        </w:tabs>
        <w:spacing w:line="480" w:lineRule="auto"/>
        <w:ind w:left="720" w:hanging="360"/>
        <w:jc w:val="both"/>
      </w:pPr>
      <w:r>
        <w:t>2.</w:t>
      </w:r>
      <w:r>
        <w:tab/>
        <w:t xml:space="preserve">Evaluate </w:t>
      </w:r>
      <w:proofErr w:type="spellStart"/>
      <w:r>
        <w:t>Adamo's</w:t>
      </w:r>
      <w:proofErr w:type="spellEnd"/>
      <w:r>
        <w:t xml:space="preserve"> argument that Western scholarship has "de-</w:t>
      </w:r>
      <w:proofErr w:type="spellStart"/>
      <w:r>
        <w:t>Africanised</w:t>
      </w:r>
      <w:proofErr w:type="spellEnd"/>
      <w:r>
        <w:t>" the Old Testament.</w:t>
      </w:r>
    </w:p>
    <w:p w:rsidR="008E4B08" w:rsidRDefault="00C51EF0">
      <w:pPr>
        <w:tabs>
          <w:tab w:val="left" w:pos="720"/>
        </w:tabs>
        <w:spacing w:line="480" w:lineRule="auto"/>
        <w:ind w:left="720" w:hanging="360"/>
        <w:jc w:val="both"/>
      </w:pPr>
      <w:proofErr w:type="gramStart"/>
      <w:r>
        <w:t>3.</w:t>
      </w:r>
      <w:r>
        <w:tab/>
        <w:t>How should Nigerian</w:t>
      </w:r>
      <w:proofErr w:type="gramEnd"/>
      <w:r>
        <w:t xml:space="preserve"> pastors use archaeology in preaching and apologetics? Identify common misuses and suggest corrections.</w:t>
      </w:r>
    </w:p>
    <w:p w:rsidR="008E4B08" w:rsidRDefault="00C51EF0">
      <w:pPr>
        <w:tabs>
          <w:tab w:val="left" w:pos="720"/>
        </w:tabs>
        <w:spacing w:line="480" w:lineRule="auto"/>
        <w:ind w:left="720" w:hanging="360"/>
        <w:jc w:val="both"/>
      </w:pPr>
      <w:r>
        <w:t>4.</w:t>
      </w:r>
      <w:r>
        <w:tab/>
        <w:t>Propose a practical plan for strengthening biblical archaeology in your own theological institution.</w:t>
      </w:r>
    </w:p>
    <w:p w:rsidR="008E4B08" w:rsidRDefault="00C51EF0">
      <w:pPr>
        <w:pStyle w:val="Heading2"/>
        <w:keepNext/>
        <w:spacing w:before="240" w:after="120" w:line="360" w:lineRule="auto"/>
      </w:pPr>
      <w:bookmarkStart w:id="192" w:name="_Toc241908553"/>
      <w:r>
        <w:t>14.12 Further Reading</w:t>
      </w:r>
      <w:bookmarkEnd w:id="192"/>
    </w:p>
    <w:p w:rsidR="008E4B08" w:rsidRDefault="00C51EF0">
      <w:pPr>
        <w:spacing w:after="160"/>
        <w:ind w:left="720" w:hanging="720"/>
      </w:pPr>
      <w:proofErr w:type="spellStart"/>
      <w:r>
        <w:t>Adamo</w:t>
      </w:r>
      <w:proofErr w:type="spellEnd"/>
      <w:r>
        <w:t xml:space="preserve">, David Tuesday. </w:t>
      </w:r>
      <w:r>
        <w:rPr>
          <w:i/>
          <w:iCs/>
        </w:rPr>
        <w:t>Africa and the Africans in the Old Testament</w:t>
      </w:r>
      <w:r>
        <w:t>. San Francisco: Christian Universities Press, 1998.</w:t>
      </w:r>
    </w:p>
    <w:p w:rsidR="008E4B08" w:rsidRDefault="00C51EF0">
      <w:pPr>
        <w:spacing w:after="160"/>
        <w:ind w:left="720" w:hanging="720"/>
      </w:pPr>
      <w:proofErr w:type="spellStart"/>
      <w:r>
        <w:t>Holter</w:t>
      </w:r>
      <w:proofErr w:type="spellEnd"/>
      <w:r>
        <w:t xml:space="preserve">, Knut. </w:t>
      </w:r>
      <w:r>
        <w:rPr>
          <w:i/>
          <w:iCs/>
        </w:rPr>
        <w:t>Yahweh in Africa: Essays on Africa and the Old Testament</w:t>
      </w:r>
      <w:r>
        <w:t>. New York: Peter Lang, 2000.</w:t>
      </w:r>
    </w:p>
    <w:p w:rsidR="008E4B08" w:rsidRDefault="00C51EF0">
      <w:pPr>
        <w:spacing w:after="160"/>
        <w:ind w:left="720" w:hanging="720"/>
      </w:pPr>
      <w:r>
        <w:lastRenderedPageBreak/>
        <w:t xml:space="preserve">Oden, Thomas C. </w:t>
      </w:r>
      <w:r>
        <w:rPr>
          <w:i/>
          <w:iCs/>
        </w:rPr>
        <w:t>How Africa Shaped the Christian Mind: Rediscovering the African Seedbed of Western Christianity</w:t>
      </w:r>
      <w:r>
        <w:t>. Downers Grove, IL: IVP Academic, 2007.</w:t>
      </w:r>
    </w:p>
    <w:p w:rsidR="008E4B08" w:rsidRDefault="00C51EF0">
      <w:pPr>
        <w:spacing w:after="160"/>
        <w:ind w:left="720" w:hanging="720"/>
      </w:pPr>
      <w:r>
        <w:t xml:space="preserve">Yamauchi, Edwin M. </w:t>
      </w:r>
      <w:r>
        <w:rPr>
          <w:i/>
          <w:iCs/>
        </w:rPr>
        <w:t>Africa and the Bible</w:t>
      </w:r>
      <w:r>
        <w:t>. Grand Rapids: Baker Academic, 2004.</w:t>
      </w:r>
    </w:p>
    <w:p w:rsidR="008E4B08" w:rsidRDefault="00C51EF0">
      <w:pPr>
        <w:pStyle w:val="Heading1"/>
        <w:pageBreakBefore/>
        <w:spacing w:after="360" w:line="360" w:lineRule="auto"/>
        <w:jc w:val="center"/>
      </w:pPr>
      <w:bookmarkStart w:id="193" w:name="_Toc241908554"/>
      <w:r>
        <w:lastRenderedPageBreak/>
        <w:t>APPENDIX I: CHRONOLOGICAL TABLE OF ARCHAEOLOGICAL PERIODS</w:t>
      </w:r>
      <w:bookmarkEnd w:id="193"/>
    </w:p>
    <w:p w:rsidR="008E4B08" w:rsidRDefault="00C51EF0">
      <w:pPr>
        <w:spacing w:line="480" w:lineRule="auto"/>
        <w:jc w:val="both"/>
      </w:pPr>
      <w:r>
        <w:t>The following table gives approximate dates for the archaeological periods of the southern Levant, together with representative biblical and historical events. Dates before the first millennium BC are approximate, and the dates of the Iron Age subdivisions are debated (see Units Three and Eight).</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000"/>
        <w:gridCol w:w="2100"/>
        <w:gridCol w:w="4926"/>
      </w:tblGrid>
      <w:tr w:rsidR="008E4B08">
        <w:tblPrEx>
          <w:tblCellMar>
            <w:top w:w="0" w:type="dxa"/>
            <w:bottom w:w="0" w:type="dxa"/>
          </w:tblCellMar>
        </w:tblPrEx>
        <w:trPr>
          <w:tblHeader/>
        </w:trPr>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b/>
                <w:bCs/>
                <w:sz w:val="20"/>
                <w:szCs w:val="20"/>
              </w:rPr>
              <w:t>Period</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b/>
                <w:bCs/>
                <w:sz w:val="20"/>
                <w:szCs w:val="20"/>
              </w:rPr>
              <w:t>Approximate Dates</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b/>
                <w:bCs/>
                <w:sz w:val="20"/>
                <w:szCs w:val="20"/>
              </w:rPr>
              <w:t>Representative Events and Discoveries</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Neolithic</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10,000–4500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Earliest settlement at Jericho</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Chalcolithic</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4500–3500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 xml:space="preserve">Copper working; </w:t>
            </w:r>
            <w:proofErr w:type="spellStart"/>
            <w:r>
              <w:rPr>
                <w:sz w:val="20"/>
                <w:szCs w:val="20"/>
              </w:rPr>
              <w:t>Ghassulian</w:t>
            </w:r>
            <w:proofErr w:type="spellEnd"/>
            <w:r>
              <w:rPr>
                <w:sz w:val="20"/>
                <w:szCs w:val="20"/>
              </w:rPr>
              <w:t xml:space="preserve"> culture</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Early Bronze Age</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3500–2000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First cities; Egyptian pyramids; Ebla archive; Early Bronze Age Ai</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Middle Bronze Age</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2000–1550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 xml:space="preserve">Amorite period; Mari archive; Laws of Hammurabi; Hyksos at </w:t>
            </w:r>
            <w:proofErr w:type="spellStart"/>
            <w:r>
              <w:rPr>
                <w:sz w:val="20"/>
                <w:szCs w:val="20"/>
              </w:rPr>
              <w:t>Avaris</w:t>
            </w:r>
            <w:proofErr w:type="spellEnd"/>
            <w:r>
              <w:rPr>
                <w:sz w:val="20"/>
                <w:szCs w:val="20"/>
              </w:rPr>
              <w:t>; traditional setting of the patriarchs</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Late Bronze Age</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1550–1200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 xml:space="preserve">Egyptian New Kingdom; Amarna letters; Ugarit; Ramesses II; </w:t>
            </w:r>
            <w:proofErr w:type="spellStart"/>
            <w:r>
              <w:rPr>
                <w:sz w:val="20"/>
                <w:szCs w:val="20"/>
              </w:rPr>
              <w:t>Merneptah</w:t>
            </w:r>
            <w:proofErr w:type="spellEnd"/>
            <w:r>
              <w:rPr>
                <w:sz w:val="20"/>
                <w:szCs w:val="20"/>
              </w:rPr>
              <w:t xml:space="preserve"> Stele (about 1208 BC); exodus (early or late date)</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Iron Age I</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1200–1000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Sea Peoples and Philistines; hill country villages; period of the Judges</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Iron Age IIA</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1000–840 BC (debated)</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 xml:space="preserve">David and Solomon; Khirbet </w:t>
            </w:r>
            <w:proofErr w:type="spellStart"/>
            <w:r>
              <w:rPr>
                <w:sz w:val="20"/>
                <w:szCs w:val="20"/>
              </w:rPr>
              <w:t>Qeiyafa</w:t>
            </w:r>
            <w:proofErr w:type="spellEnd"/>
            <w:r>
              <w:rPr>
                <w:sz w:val="20"/>
                <w:szCs w:val="20"/>
              </w:rPr>
              <w:t xml:space="preserve">; division of the kingdom; </w:t>
            </w:r>
            <w:proofErr w:type="spellStart"/>
            <w:r>
              <w:rPr>
                <w:sz w:val="20"/>
                <w:szCs w:val="20"/>
              </w:rPr>
              <w:t>Omride</w:t>
            </w:r>
            <w:proofErr w:type="spellEnd"/>
            <w:r>
              <w:rPr>
                <w:sz w:val="20"/>
                <w:szCs w:val="20"/>
              </w:rPr>
              <w:t xml:space="preserve"> dynasty; </w:t>
            </w:r>
            <w:proofErr w:type="spellStart"/>
            <w:r>
              <w:rPr>
                <w:sz w:val="20"/>
                <w:szCs w:val="20"/>
              </w:rPr>
              <w:t>Mesha</w:t>
            </w:r>
            <w:proofErr w:type="spellEnd"/>
            <w:r>
              <w:rPr>
                <w:sz w:val="20"/>
                <w:szCs w:val="20"/>
              </w:rPr>
              <w:t xml:space="preserve"> Inscription; Tel Dan inscription</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Iron Age IIB</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840–700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Jehu; Samaria ostraca; fall of Samaria (722/720 BC); Hezekiah; Sennacherib's campaign (701 BC)</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Iron Age IIC</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700–586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 xml:space="preserve">Josiah; </w:t>
            </w:r>
            <w:proofErr w:type="spellStart"/>
            <w:r>
              <w:rPr>
                <w:sz w:val="20"/>
                <w:szCs w:val="20"/>
              </w:rPr>
              <w:t>Ketef</w:t>
            </w:r>
            <w:proofErr w:type="spellEnd"/>
            <w:r>
              <w:rPr>
                <w:sz w:val="20"/>
                <w:szCs w:val="20"/>
              </w:rPr>
              <w:t xml:space="preserve"> </w:t>
            </w:r>
            <w:proofErr w:type="spellStart"/>
            <w:r>
              <w:rPr>
                <w:sz w:val="20"/>
                <w:szCs w:val="20"/>
              </w:rPr>
              <w:t>Hinnom</w:t>
            </w:r>
            <w:proofErr w:type="spellEnd"/>
            <w:r>
              <w:rPr>
                <w:sz w:val="20"/>
                <w:szCs w:val="20"/>
              </w:rPr>
              <w:t xml:space="preserve"> amulets; Lachish letters; fall of Jerusalem (586 BC)</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Babylonian Period</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586–539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Exile; Al-</w:t>
            </w:r>
            <w:proofErr w:type="spellStart"/>
            <w:r>
              <w:rPr>
                <w:sz w:val="20"/>
                <w:szCs w:val="20"/>
              </w:rPr>
              <w:t>Yahudu</w:t>
            </w:r>
            <w:proofErr w:type="spellEnd"/>
            <w:r>
              <w:rPr>
                <w:sz w:val="20"/>
                <w:szCs w:val="20"/>
              </w:rPr>
              <w:t xml:space="preserve"> tablets; </w:t>
            </w:r>
            <w:proofErr w:type="spellStart"/>
            <w:r>
              <w:rPr>
                <w:sz w:val="20"/>
                <w:szCs w:val="20"/>
              </w:rPr>
              <w:t>Jehoiachin</w:t>
            </w:r>
            <w:proofErr w:type="spellEnd"/>
            <w:r>
              <w:rPr>
                <w:sz w:val="20"/>
                <w:szCs w:val="20"/>
              </w:rPr>
              <w:t xml:space="preserve"> tablets</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Persian Period</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539–332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Cyrus Cylinder; return; Ezra and Nehemiah; Elephantine papyri</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Hellenistic Period</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332–63 BC</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 xml:space="preserve">Alexander the Great; </w:t>
            </w:r>
            <w:proofErr w:type="spellStart"/>
            <w:r>
              <w:rPr>
                <w:sz w:val="20"/>
                <w:szCs w:val="20"/>
              </w:rPr>
              <w:t>Ptolemies</w:t>
            </w:r>
            <w:proofErr w:type="spellEnd"/>
            <w:r>
              <w:rPr>
                <w:sz w:val="20"/>
                <w:szCs w:val="20"/>
              </w:rPr>
              <w:t xml:space="preserve"> and Seleucids; Maccabean revolt; Hasmoneans; Qumran settlement founded</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Early Roman Period</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63 BC–AD 135</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 xml:space="preserve">Herod the Great; ministry of Jesus; Pilate; Pauline mission; destruction of Jerusalem (AD 70); Masada; Bar </w:t>
            </w:r>
            <w:proofErr w:type="spellStart"/>
            <w:r>
              <w:rPr>
                <w:sz w:val="20"/>
                <w:szCs w:val="20"/>
              </w:rPr>
              <w:t>Kokhba</w:t>
            </w:r>
            <w:proofErr w:type="spellEnd"/>
            <w:r>
              <w:rPr>
                <w:sz w:val="20"/>
                <w:szCs w:val="20"/>
              </w:rPr>
              <w:t xml:space="preserve"> revolt</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Late Roman Period</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AD 135–324</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proofErr w:type="spellStart"/>
            <w:r>
              <w:rPr>
                <w:sz w:val="20"/>
                <w:szCs w:val="20"/>
              </w:rPr>
              <w:t>Aelia</w:t>
            </w:r>
            <w:proofErr w:type="spellEnd"/>
            <w:r>
              <w:rPr>
                <w:sz w:val="20"/>
                <w:szCs w:val="20"/>
              </w:rPr>
              <w:t xml:space="preserve"> </w:t>
            </w:r>
            <w:proofErr w:type="spellStart"/>
            <w:r>
              <w:rPr>
                <w:sz w:val="20"/>
                <w:szCs w:val="20"/>
              </w:rPr>
              <w:t>Capitolina</w:t>
            </w:r>
            <w:proofErr w:type="spellEnd"/>
            <w:r>
              <w:rPr>
                <w:sz w:val="20"/>
                <w:szCs w:val="20"/>
              </w:rPr>
              <w:t>; Dura-</w:t>
            </w:r>
            <w:proofErr w:type="spellStart"/>
            <w:r>
              <w:rPr>
                <w:sz w:val="20"/>
                <w:szCs w:val="20"/>
              </w:rPr>
              <w:t>Europos</w:t>
            </w:r>
            <w:proofErr w:type="spellEnd"/>
            <w:r>
              <w:rPr>
                <w:sz w:val="20"/>
                <w:szCs w:val="20"/>
              </w:rPr>
              <w:t xml:space="preserve"> house church</w:t>
            </w:r>
          </w:p>
        </w:tc>
      </w:tr>
      <w:tr w:rsidR="008E4B08">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Byzantine Period</w:t>
            </w:r>
          </w:p>
        </w:tc>
        <w:tc>
          <w:tcPr>
            <w:tcW w:w="2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AD 324–638</w:t>
            </w:r>
          </w:p>
        </w:tc>
        <w:tc>
          <w:tcPr>
            <w:tcW w:w="49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8E4B08" w:rsidRDefault="00C51EF0">
            <w:r>
              <w:rPr>
                <w:sz w:val="20"/>
                <w:szCs w:val="20"/>
              </w:rPr>
              <w:t xml:space="preserve">Constantine; Church of the Holy </w:t>
            </w:r>
            <w:proofErr w:type="spellStart"/>
            <w:r>
              <w:rPr>
                <w:sz w:val="20"/>
                <w:szCs w:val="20"/>
              </w:rPr>
              <w:t>Sepulchre</w:t>
            </w:r>
            <w:proofErr w:type="spellEnd"/>
            <w:r>
              <w:rPr>
                <w:sz w:val="20"/>
                <w:szCs w:val="20"/>
              </w:rPr>
              <w:t xml:space="preserve">; </w:t>
            </w:r>
            <w:proofErr w:type="spellStart"/>
            <w:r>
              <w:rPr>
                <w:sz w:val="20"/>
                <w:szCs w:val="20"/>
              </w:rPr>
              <w:t>Madaba</w:t>
            </w:r>
            <w:proofErr w:type="spellEnd"/>
            <w:r>
              <w:rPr>
                <w:sz w:val="20"/>
                <w:szCs w:val="20"/>
              </w:rPr>
              <w:t xml:space="preserve"> Map</w:t>
            </w:r>
          </w:p>
        </w:tc>
      </w:tr>
    </w:tbl>
    <w:p w:rsidR="008E4B08" w:rsidRDefault="008E4B08">
      <w:pPr>
        <w:spacing w:after="120"/>
      </w:pPr>
    </w:p>
    <w:p w:rsidR="008E4B08" w:rsidRDefault="00C51EF0">
      <w:pPr>
        <w:pStyle w:val="Heading1"/>
        <w:pageBreakBefore/>
        <w:spacing w:after="360" w:line="360" w:lineRule="auto"/>
        <w:jc w:val="center"/>
      </w:pPr>
      <w:bookmarkStart w:id="194" w:name="_Toc241908555"/>
      <w:r>
        <w:lastRenderedPageBreak/>
        <w:t>APPENDIX II: GLOSSARY OF TECHNICAL TERMS</w:t>
      </w:r>
      <w:bookmarkEnd w:id="194"/>
    </w:p>
    <w:p w:rsidR="008E4B08" w:rsidRDefault="00C51EF0">
      <w:pPr>
        <w:spacing w:after="120" w:line="360" w:lineRule="auto"/>
        <w:jc w:val="both"/>
      </w:pPr>
      <w:r>
        <w:rPr>
          <w:b/>
          <w:bCs/>
        </w:rPr>
        <w:t>Aedile.</w:t>
      </w:r>
      <w:r>
        <w:t xml:space="preserve"> A Roman magistrate responsible for public buildings, streets and markets.</w:t>
      </w:r>
    </w:p>
    <w:p w:rsidR="008E4B08" w:rsidRDefault="00C51EF0">
      <w:pPr>
        <w:spacing w:after="120" w:line="360" w:lineRule="auto"/>
        <w:jc w:val="both"/>
      </w:pPr>
      <w:r>
        <w:rPr>
          <w:b/>
          <w:bCs/>
        </w:rPr>
        <w:t>Ashlar.</w:t>
      </w:r>
      <w:r>
        <w:t xml:space="preserve"> Finely dressed rectangular building stone, characteristic of royal construction in the Iron Age.</w:t>
      </w:r>
    </w:p>
    <w:p w:rsidR="008E4B08" w:rsidRDefault="00C51EF0">
      <w:pPr>
        <w:spacing w:after="120" w:line="360" w:lineRule="auto"/>
        <w:jc w:val="both"/>
      </w:pPr>
      <w:r>
        <w:rPr>
          <w:b/>
          <w:bCs/>
        </w:rPr>
        <w:t>Balk.</w:t>
      </w:r>
      <w:r>
        <w:t xml:space="preserve"> An unexcavated strip of soil left between excavation squares to preserve a vertical record of the layers.</w:t>
      </w:r>
    </w:p>
    <w:p w:rsidR="008E4B08" w:rsidRDefault="00C51EF0">
      <w:pPr>
        <w:spacing w:after="120" w:line="360" w:lineRule="auto"/>
        <w:jc w:val="both"/>
      </w:pPr>
      <w:r>
        <w:rPr>
          <w:b/>
          <w:bCs/>
        </w:rPr>
        <w:t>Bulla (plural, bullae).</w:t>
      </w:r>
      <w:r>
        <w:t xml:space="preserve"> A lump of clay impressed with a seal, used to seal documents.</w:t>
      </w:r>
    </w:p>
    <w:p w:rsidR="008E4B08" w:rsidRDefault="00C51EF0">
      <w:pPr>
        <w:spacing w:after="120" w:line="360" w:lineRule="auto"/>
        <w:jc w:val="both"/>
      </w:pPr>
      <w:r>
        <w:rPr>
          <w:b/>
          <w:bCs/>
        </w:rPr>
        <w:t>Casemate wall.</w:t>
      </w:r>
      <w:r>
        <w:t xml:space="preserve"> A fortification consisting of two parallel walls divided into rooms by cross walls.</w:t>
      </w:r>
    </w:p>
    <w:p w:rsidR="008E4B08" w:rsidRDefault="00C51EF0">
      <w:pPr>
        <w:spacing w:after="120" w:line="360" w:lineRule="auto"/>
        <w:jc w:val="both"/>
      </w:pPr>
      <w:r>
        <w:rPr>
          <w:b/>
          <w:bCs/>
        </w:rPr>
        <w:t>Cuneiform.</w:t>
      </w:r>
      <w:r>
        <w:t xml:space="preserve"> The wedge-shaped writing system of ancient Mesopotamia, impressed on clay tablets.</w:t>
      </w:r>
    </w:p>
    <w:p w:rsidR="008E4B08" w:rsidRDefault="00C51EF0">
      <w:pPr>
        <w:spacing w:after="120" w:line="360" w:lineRule="auto"/>
        <w:jc w:val="both"/>
      </w:pPr>
      <w:r>
        <w:rPr>
          <w:b/>
          <w:bCs/>
        </w:rPr>
        <w:t>Determinative.</w:t>
      </w:r>
      <w:r>
        <w:t xml:space="preserve"> In Egyptian hieroglyphic writing, an unpronounced sign that indicates the category of a word, such as a city, a people or a god.</w:t>
      </w:r>
    </w:p>
    <w:p w:rsidR="008E4B08" w:rsidRDefault="00C51EF0">
      <w:pPr>
        <w:spacing w:after="120" w:line="360" w:lineRule="auto"/>
        <w:jc w:val="both"/>
      </w:pPr>
      <w:proofErr w:type="spellStart"/>
      <w:r>
        <w:rPr>
          <w:b/>
          <w:bCs/>
        </w:rPr>
        <w:t>Ecofact</w:t>
      </w:r>
      <w:proofErr w:type="spellEnd"/>
      <w:r>
        <w:rPr>
          <w:b/>
          <w:bCs/>
        </w:rPr>
        <w:t>.</w:t>
      </w:r>
      <w:r>
        <w:t xml:space="preserve"> Natural material, such as seeds, pollen or animal bones, that provides evidence of human activity.</w:t>
      </w:r>
    </w:p>
    <w:p w:rsidR="008E4B08" w:rsidRDefault="00C51EF0">
      <w:pPr>
        <w:spacing w:after="120" w:line="360" w:lineRule="auto"/>
        <w:jc w:val="both"/>
      </w:pPr>
      <w:r>
        <w:rPr>
          <w:b/>
          <w:bCs/>
        </w:rPr>
        <w:t>Locus (plural, loci).</w:t>
      </w:r>
      <w:r>
        <w:t xml:space="preserve"> A distinct unit of excavation, such as a layer of soil, a wall, a floor or a pit.</w:t>
      </w:r>
    </w:p>
    <w:p w:rsidR="008E4B08" w:rsidRDefault="00C51EF0">
      <w:pPr>
        <w:spacing w:after="120" w:line="360" w:lineRule="auto"/>
        <w:jc w:val="both"/>
      </w:pPr>
      <w:proofErr w:type="spellStart"/>
      <w:r>
        <w:rPr>
          <w:b/>
          <w:bCs/>
        </w:rPr>
        <w:t>Massebah</w:t>
      </w:r>
      <w:proofErr w:type="spellEnd"/>
      <w:r>
        <w:rPr>
          <w:b/>
          <w:bCs/>
        </w:rPr>
        <w:t xml:space="preserve"> (plural, </w:t>
      </w:r>
      <w:proofErr w:type="spellStart"/>
      <w:r>
        <w:rPr>
          <w:b/>
          <w:bCs/>
        </w:rPr>
        <w:t>massebot</w:t>
      </w:r>
      <w:proofErr w:type="spellEnd"/>
      <w:r>
        <w:rPr>
          <w:b/>
          <w:bCs/>
        </w:rPr>
        <w:t>).</w:t>
      </w:r>
      <w:r>
        <w:t xml:space="preserve"> A standing stone used in worship.</w:t>
      </w:r>
    </w:p>
    <w:p w:rsidR="008E4B08" w:rsidRDefault="00C51EF0">
      <w:pPr>
        <w:spacing w:after="120" w:line="360" w:lineRule="auto"/>
        <w:jc w:val="both"/>
      </w:pPr>
      <w:proofErr w:type="spellStart"/>
      <w:r>
        <w:rPr>
          <w:b/>
          <w:bCs/>
        </w:rPr>
        <w:t>Miqveh</w:t>
      </w:r>
      <w:proofErr w:type="spellEnd"/>
      <w:r>
        <w:rPr>
          <w:b/>
          <w:bCs/>
        </w:rPr>
        <w:t xml:space="preserve"> (plural, </w:t>
      </w:r>
      <w:proofErr w:type="spellStart"/>
      <w:r>
        <w:rPr>
          <w:b/>
          <w:bCs/>
        </w:rPr>
        <w:t>miqva'ot</w:t>
      </w:r>
      <w:proofErr w:type="spellEnd"/>
      <w:r>
        <w:rPr>
          <w:b/>
          <w:bCs/>
        </w:rPr>
        <w:t>).</w:t>
      </w:r>
      <w:r>
        <w:t xml:space="preserve"> A Jewish ritual bath used for purification.</w:t>
      </w:r>
    </w:p>
    <w:p w:rsidR="008E4B08" w:rsidRDefault="00C51EF0">
      <w:pPr>
        <w:spacing w:after="120" w:line="360" w:lineRule="auto"/>
        <w:jc w:val="both"/>
      </w:pPr>
      <w:r>
        <w:rPr>
          <w:b/>
          <w:bCs/>
        </w:rPr>
        <w:t>Ossuary.</w:t>
      </w:r>
      <w:r>
        <w:t xml:space="preserve"> A stone box in which the bones of the dead were collected after the flesh had decomposed.</w:t>
      </w:r>
    </w:p>
    <w:p w:rsidR="008E4B08" w:rsidRDefault="00C51EF0">
      <w:pPr>
        <w:spacing w:after="120" w:line="360" w:lineRule="auto"/>
        <w:jc w:val="both"/>
      </w:pPr>
      <w:r>
        <w:rPr>
          <w:b/>
          <w:bCs/>
        </w:rPr>
        <w:t>Ostracon (plural, ostraca).</w:t>
      </w:r>
      <w:r>
        <w:t xml:space="preserve"> A fragment of pottery bearing writing in ink or incised.</w:t>
      </w:r>
    </w:p>
    <w:p w:rsidR="008E4B08" w:rsidRDefault="00C51EF0">
      <w:pPr>
        <w:spacing w:after="120" w:line="360" w:lineRule="auto"/>
        <w:jc w:val="both"/>
      </w:pPr>
      <w:proofErr w:type="spellStart"/>
      <w:r>
        <w:rPr>
          <w:b/>
          <w:bCs/>
        </w:rPr>
        <w:t>Palaeography</w:t>
      </w:r>
      <w:proofErr w:type="spellEnd"/>
      <w:r>
        <w:rPr>
          <w:b/>
          <w:bCs/>
        </w:rPr>
        <w:t>.</w:t>
      </w:r>
      <w:r>
        <w:t xml:space="preserve"> The study of ancient handwriting, used to date manuscripts and inscriptions.</w:t>
      </w:r>
    </w:p>
    <w:p w:rsidR="008E4B08" w:rsidRDefault="00C51EF0">
      <w:pPr>
        <w:spacing w:after="120" w:line="360" w:lineRule="auto"/>
        <w:jc w:val="both"/>
      </w:pPr>
      <w:proofErr w:type="spellStart"/>
      <w:r>
        <w:rPr>
          <w:b/>
          <w:bCs/>
        </w:rPr>
        <w:t>Pesher</w:t>
      </w:r>
      <w:proofErr w:type="spellEnd"/>
      <w:r>
        <w:rPr>
          <w:b/>
          <w:bCs/>
        </w:rPr>
        <w:t xml:space="preserve"> (plural, </w:t>
      </w:r>
      <w:proofErr w:type="spellStart"/>
      <w:r>
        <w:rPr>
          <w:b/>
          <w:bCs/>
        </w:rPr>
        <w:t>pesharim</w:t>
      </w:r>
      <w:proofErr w:type="spellEnd"/>
      <w:r>
        <w:rPr>
          <w:b/>
          <w:bCs/>
        </w:rPr>
        <w:t>).</w:t>
      </w:r>
      <w:r>
        <w:t xml:space="preserve"> A type of commentary from Qumran that interprets prophetic texts as fulfilled in the community's own time.</w:t>
      </w:r>
    </w:p>
    <w:p w:rsidR="008E4B08" w:rsidRDefault="00C51EF0">
      <w:pPr>
        <w:spacing w:after="120" w:line="360" w:lineRule="auto"/>
        <w:jc w:val="both"/>
      </w:pPr>
      <w:r>
        <w:rPr>
          <w:b/>
          <w:bCs/>
        </w:rPr>
        <w:t>Provenance.</w:t>
      </w:r>
      <w:r>
        <w:t xml:space="preserve"> The documented history of an object since its discovery; </w:t>
      </w:r>
      <w:r>
        <w:rPr>
          <w:i/>
          <w:iCs/>
        </w:rPr>
        <w:t>provenience</w:t>
      </w:r>
      <w:r>
        <w:t xml:space="preserve"> refers to its exact </w:t>
      </w:r>
      <w:proofErr w:type="spellStart"/>
      <w:r>
        <w:t>findspot</w:t>
      </w:r>
      <w:proofErr w:type="spellEnd"/>
      <w:r>
        <w:t>.</w:t>
      </w:r>
    </w:p>
    <w:p w:rsidR="008E4B08" w:rsidRDefault="00C51EF0">
      <w:pPr>
        <w:spacing w:after="120" w:line="360" w:lineRule="auto"/>
        <w:jc w:val="both"/>
      </w:pPr>
      <w:r>
        <w:rPr>
          <w:b/>
          <w:bCs/>
        </w:rPr>
        <w:t>Stele (or stela).</w:t>
      </w:r>
      <w:r>
        <w:t xml:space="preserve"> An upright stone slab bearing an inscription or relief.</w:t>
      </w:r>
    </w:p>
    <w:p w:rsidR="008E4B08" w:rsidRDefault="00C51EF0">
      <w:pPr>
        <w:spacing w:after="120" w:line="360" w:lineRule="auto"/>
        <w:jc w:val="both"/>
      </w:pPr>
      <w:r>
        <w:rPr>
          <w:b/>
          <w:bCs/>
        </w:rPr>
        <w:lastRenderedPageBreak/>
        <w:t>Stratigraphy.</w:t>
      </w:r>
      <w:r>
        <w:t xml:space="preserve"> The study of the layers (strata) of an archaeological site and their sequence.</w:t>
      </w:r>
    </w:p>
    <w:p w:rsidR="008E4B08" w:rsidRDefault="00C51EF0">
      <w:pPr>
        <w:spacing w:after="120" w:line="360" w:lineRule="auto"/>
        <w:jc w:val="both"/>
      </w:pPr>
      <w:r>
        <w:rPr>
          <w:b/>
          <w:bCs/>
        </w:rPr>
        <w:t>Stratum (plural, strata).</w:t>
      </w:r>
      <w:r>
        <w:t xml:space="preserve"> A layer of occupation or deposition on an archaeological site.</w:t>
      </w:r>
    </w:p>
    <w:p w:rsidR="008E4B08" w:rsidRDefault="00C51EF0">
      <w:pPr>
        <w:spacing w:after="120" w:line="360" w:lineRule="auto"/>
        <w:jc w:val="both"/>
      </w:pPr>
      <w:r>
        <w:rPr>
          <w:b/>
          <w:bCs/>
        </w:rPr>
        <w:t xml:space="preserve">Tell (Hebrew, </w:t>
      </w:r>
      <w:proofErr w:type="spellStart"/>
      <w:r>
        <w:rPr>
          <w:b/>
          <w:bCs/>
        </w:rPr>
        <w:t>tel</w:t>
      </w:r>
      <w:proofErr w:type="spellEnd"/>
      <w:r>
        <w:rPr>
          <w:b/>
          <w:bCs/>
        </w:rPr>
        <w:t>).</w:t>
      </w:r>
      <w:r>
        <w:t xml:space="preserve"> An artificial mound formed by the accumulated remains of successive settlements.</w:t>
      </w:r>
    </w:p>
    <w:p w:rsidR="008E4B08" w:rsidRDefault="00C51EF0">
      <w:pPr>
        <w:spacing w:after="120" w:line="360" w:lineRule="auto"/>
        <w:jc w:val="both"/>
      </w:pPr>
      <w:r>
        <w:rPr>
          <w:b/>
          <w:bCs/>
        </w:rPr>
        <w:t xml:space="preserve">Terminus post </w:t>
      </w:r>
      <w:proofErr w:type="spellStart"/>
      <w:r>
        <w:rPr>
          <w:b/>
          <w:bCs/>
        </w:rPr>
        <w:t>quem</w:t>
      </w:r>
      <w:proofErr w:type="spellEnd"/>
      <w:r>
        <w:rPr>
          <w:b/>
          <w:bCs/>
        </w:rPr>
        <w:t>.</w:t>
      </w:r>
      <w:r>
        <w:t xml:space="preserve"> The earliest possible date for a deposit, often established by the latest datable object it contains.</w:t>
      </w:r>
    </w:p>
    <w:p w:rsidR="008E4B08" w:rsidRDefault="00C51EF0">
      <w:pPr>
        <w:spacing w:after="120" w:line="360" w:lineRule="auto"/>
        <w:jc w:val="both"/>
      </w:pPr>
      <w:r>
        <w:rPr>
          <w:b/>
          <w:bCs/>
        </w:rPr>
        <w:t>Typology.</w:t>
      </w:r>
      <w:r>
        <w:t xml:space="preserve"> The classification of artefacts by form and style to establish relative chronological sequences.</w:t>
      </w:r>
    </w:p>
    <w:p w:rsidR="008E4B08" w:rsidRDefault="00C51EF0">
      <w:pPr>
        <w:pStyle w:val="Heading1"/>
        <w:pageBreakBefore/>
        <w:spacing w:after="360" w:line="360" w:lineRule="auto"/>
        <w:jc w:val="center"/>
      </w:pPr>
      <w:bookmarkStart w:id="195" w:name="_Toc241908556"/>
      <w:r>
        <w:lastRenderedPageBreak/>
        <w:t>APPENDIX III: TEN EXAMINATION QUESTIONS</w:t>
      </w:r>
      <w:bookmarkEnd w:id="195"/>
    </w:p>
    <w:p w:rsidR="008E4B08" w:rsidRDefault="00C51EF0">
      <w:pPr>
        <w:spacing w:line="480" w:lineRule="auto"/>
        <w:jc w:val="both"/>
      </w:pPr>
      <w:r>
        <w:t>Candidates are required to answer any four questions in three hours. Each question carries equal marks. Where appropriate, candidates should show how their answer applies to Christian life and ministry in the African context.</w:t>
      </w:r>
    </w:p>
    <w:p w:rsidR="008E4B08" w:rsidRDefault="00C51EF0">
      <w:pPr>
        <w:tabs>
          <w:tab w:val="left" w:pos="720"/>
        </w:tabs>
        <w:spacing w:line="480" w:lineRule="auto"/>
        <w:ind w:left="720" w:hanging="360"/>
        <w:jc w:val="both"/>
      </w:pPr>
      <w:r>
        <w:t>1.</w:t>
      </w:r>
      <w:r>
        <w:tab/>
        <w:t>"Biblical archaeology can neither prove nor disprove the Bible." Discuss this statement with reference to at least three specific discoveries, and explain how a pastor should use archaeology responsibly in preaching.</w:t>
      </w:r>
    </w:p>
    <w:p w:rsidR="008E4B08" w:rsidRDefault="00C51EF0">
      <w:pPr>
        <w:tabs>
          <w:tab w:val="left" w:pos="720"/>
        </w:tabs>
        <w:spacing w:line="480" w:lineRule="auto"/>
        <w:ind w:left="720" w:hanging="360"/>
        <w:jc w:val="both"/>
      </w:pPr>
      <w:r>
        <w:t>2.</w:t>
      </w:r>
      <w:r>
        <w:tab/>
        <w:t>Trace the rise and decline of the Albright school and assess its lasting contribution to biblical studies.</w:t>
      </w:r>
    </w:p>
    <w:p w:rsidR="008E4B08" w:rsidRDefault="00C51EF0">
      <w:pPr>
        <w:tabs>
          <w:tab w:val="left" w:pos="720"/>
        </w:tabs>
        <w:spacing w:line="480" w:lineRule="auto"/>
        <w:ind w:left="720" w:hanging="360"/>
        <w:jc w:val="both"/>
      </w:pPr>
      <w:r>
        <w:t>3.</w:t>
      </w:r>
      <w:r>
        <w:tab/>
        <w:t>Explain the principles of stratigraphy and radiocarbon dating, and evaluate their role in the debate on the chronology of the united monarchy.</w:t>
      </w:r>
    </w:p>
    <w:p w:rsidR="008E4B08" w:rsidRDefault="00C51EF0">
      <w:pPr>
        <w:tabs>
          <w:tab w:val="left" w:pos="720"/>
        </w:tabs>
        <w:spacing w:line="480" w:lineRule="auto"/>
        <w:ind w:left="720" w:hanging="360"/>
        <w:jc w:val="both"/>
      </w:pPr>
      <w:r>
        <w:t>4.</w:t>
      </w:r>
      <w:r>
        <w:tab/>
        <w:t>Compare the Babylonian flood traditions with Genesis 6–9. What do the similarities and differences teach about the distinctiveness of Israel's faith?</w:t>
      </w:r>
    </w:p>
    <w:p w:rsidR="008E4B08" w:rsidRDefault="00C51EF0">
      <w:pPr>
        <w:tabs>
          <w:tab w:val="left" w:pos="720"/>
        </w:tabs>
        <w:spacing w:line="480" w:lineRule="auto"/>
        <w:ind w:left="720" w:hanging="360"/>
        <w:jc w:val="both"/>
      </w:pPr>
      <w:r>
        <w:t>5.</w:t>
      </w:r>
      <w:r>
        <w:tab/>
        <w:t xml:space="preserve">Critically evaluate the archaeological evidence relating to the conquest of Jericho, Ai and </w:t>
      </w:r>
      <w:proofErr w:type="spellStart"/>
      <w:r>
        <w:t>Hazor</w:t>
      </w:r>
      <w:proofErr w:type="spellEnd"/>
      <w:r>
        <w:t>, and discuss how the church should handle difficult evidence with honesty.</w:t>
      </w:r>
    </w:p>
    <w:p w:rsidR="008E4B08" w:rsidRDefault="00C51EF0">
      <w:pPr>
        <w:tabs>
          <w:tab w:val="left" w:pos="720"/>
        </w:tabs>
        <w:spacing w:line="480" w:lineRule="auto"/>
        <w:ind w:left="720" w:hanging="360"/>
        <w:jc w:val="both"/>
      </w:pPr>
      <w:r>
        <w:t>6.</w:t>
      </w:r>
      <w:r>
        <w:tab/>
        <w:t xml:space="preserve">Assess the significance of the Tel Dan inscription and the excavations at Khirbet </w:t>
      </w:r>
      <w:proofErr w:type="spellStart"/>
      <w:r>
        <w:t>Qeiyafa</w:t>
      </w:r>
      <w:proofErr w:type="spellEnd"/>
      <w:r>
        <w:t xml:space="preserve"> for the historicity of David.</w:t>
      </w:r>
    </w:p>
    <w:p w:rsidR="008E4B08" w:rsidRDefault="00C51EF0">
      <w:pPr>
        <w:tabs>
          <w:tab w:val="left" w:pos="720"/>
        </w:tabs>
        <w:spacing w:line="480" w:lineRule="auto"/>
        <w:ind w:left="720" w:hanging="360"/>
        <w:jc w:val="both"/>
      </w:pPr>
      <w:r>
        <w:t>7.</w:t>
      </w:r>
      <w:r>
        <w:tab/>
        <w:t>"The campaign of Sennacherib in 701 BC is a model of the convergence of text and archaeology." Discuss, and draw lessons from Hezekiah's response to the Assyrian threat.</w:t>
      </w:r>
    </w:p>
    <w:p w:rsidR="008E4B08" w:rsidRDefault="00C51EF0">
      <w:pPr>
        <w:tabs>
          <w:tab w:val="left" w:pos="720"/>
        </w:tabs>
        <w:spacing w:line="480" w:lineRule="auto"/>
        <w:ind w:left="720" w:hanging="360"/>
        <w:jc w:val="both"/>
      </w:pPr>
      <w:r>
        <w:t>8.</w:t>
      </w:r>
      <w:r>
        <w:tab/>
        <w:t>Evaluate the significance of the Dead Sea Scrolls for the text of the Old Testament and for the study of the New Testament.</w:t>
      </w:r>
    </w:p>
    <w:p w:rsidR="008E4B08" w:rsidRDefault="00C51EF0">
      <w:pPr>
        <w:tabs>
          <w:tab w:val="left" w:pos="720"/>
        </w:tabs>
        <w:spacing w:line="480" w:lineRule="auto"/>
        <w:ind w:left="720" w:hanging="360"/>
        <w:jc w:val="both"/>
      </w:pPr>
      <w:r>
        <w:t>9.</w:t>
      </w:r>
      <w:r>
        <w:tab/>
        <w:t>Discuss the ethical responsibilities of Christian scholars and institutions in relation to the antiquities trade, with reference to recent cases of forgery.</w:t>
      </w:r>
    </w:p>
    <w:p w:rsidR="008E4B08" w:rsidRDefault="00C51EF0">
      <w:pPr>
        <w:tabs>
          <w:tab w:val="left" w:pos="720"/>
        </w:tabs>
        <w:spacing w:line="480" w:lineRule="auto"/>
        <w:ind w:left="720" w:hanging="360"/>
        <w:jc w:val="both"/>
      </w:pPr>
      <w:r>
        <w:lastRenderedPageBreak/>
        <w:t>10.</w:t>
      </w:r>
      <w:r>
        <w:tab/>
        <w:t>Examine the place of Egypt and Cush in the biblical narrative in the light of archaeological evidence, and discuss the implications for African biblical scholarship and church life.</w:t>
      </w:r>
    </w:p>
    <w:p w:rsidR="008E4B08" w:rsidRDefault="00C51EF0">
      <w:pPr>
        <w:pStyle w:val="Heading1"/>
        <w:pageBreakBefore/>
        <w:spacing w:after="360" w:line="360" w:lineRule="auto"/>
        <w:jc w:val="center"/>
      </w:pPr>
      <w:bookmarkStart w:id="196" w:name="_Toc241908557"/>
      <w:r>
        <w:lastRenderedPageBreak/>
        <w:t>NOTES</w:t>
      </w:r>
      <w:bookmarkEnd w:id="196"/>
    </w:p>
    <w:p w:rsidR="008E4B08" w:rsidRDefault="00C51EF0">
      <w:pPr>
        <w:pStyle w:val="Heading2"/>
        <w:keepNext/>
        <w:spacing w:before="240" w:after="120" w:line="300" w:lineRule="auto"/>
      </w:pPr>
      <w:bookmarkStart w:id="197" w:name="_Toc241908558"/>
      <w:r>
        <w:t>Unit One: Nature, Scope and Purpose of Biblical Archaeology</w:t>
      </w:r>
      <w:bookmarkEnd w:id="197"/>
    </w:p>
    <w:p w:rsidR="008E4B08" w:rsidRDefault="00C51EF0">
      <w:pPr>
        <w:spacing w:after="160"/>
        <w:ind w:firstLine="720"/>
      </w:pPr>
      <w:r>
        <w:t xml:space="preserve">1. Colin Renfrew and Paul </w:t>
      </w:r>
      <w:proofErr w:type="spellStart"/>
      <w:r>
        <w:t>Bahn</w:t>
      </w:r>
      <w:proofErr w:type="spellEnd"/>
      <w:r>
        <w:t xml:space="preserve">, </w:t>
      </w:r>
      <w:r>
        <w:rPr>
          <w:i/>
          <w:iCs/>
        </w:rPr>
        <w:t>Archaeology: Theories, Methods and Practice</w:t>
      </w:r>
      <w:r>
        <w:t>, 7th ed. (London: Thames &amp; Hudson, 2016).</w:t>
      </w:r>
    </w:p>
    <w:p w:rsidR="008E4B08" w:rsidRDefault="00C51EF0">
      <w:pPr>
        <w:spacing w:after="160"/>
        <w:ind w:firstLine="720"/>
      </w:pPr>
      <w:r>
        <w:t xml:space="preserve">2. William F. Albright, </w:t>
      </w:r>
      <w:proofErr w:type="gramStart"/>
      <w:r>
        <w:rPr>
          <w:i/>
          <w:iCs/>
        </w:rPr>
        <w:t>The</w:t>
      </w:r>
      <w:proofErr w:type="gramEnd"/>
      <w:r>
        <w:rPr>
          <w:i/>
          <w:iCs/>
        </w:rPr>
        <w:t xml:space="preserve"> Archaeology of Palestine</w:t>
      </w:r>
      <w:r>
        <w:t>, rev. ed. (</w:t>
      </w:r>
      <w:proofErr w:type="spellStart"/>
      <w:r>
        <w:t>Harmondsworth</w:t>
      </w:r>
      <w:proofErr w:type="spellEnd"/>
      <w:r>
        <w:t>: Penguin, 1960).</w:t>
      </w:r>
    </w:p>
    <w:p w:rsidR="008E4B08" w:rsidRDefault="00C51EF0">
      <w:pPr>
        <w:spacing w:after="160"/>
        <w:ind w:firstLine="720"/>
      </w:pPr>
      <w:r>
        <w:t xml:space="preserve">3. G. Ernest Wright, </w:t>
      </w:r>
      <w:r>
        <w:rPr>
          <w:i/>
          <w:iCs/>
        </w:rPr>
        <w:t>Biblical Archaeology</w:t>
      </w:r>
      <w:r>
        <w:t>, rev. ed. (Philadelphia: Westminster, 1962).</w:t>
      </w:r>
    </w:p>
    <w:p w:rsidR="008E4B08" w:rsidRDefault="00C51EF0">
      <w:pPr>
        <w:spacing w:after="160"/>
        <w:ind w:firstLine="720"/>
      </w:pPr>
      <w:r>
        <w:t xml:space="preserve">4. William G. </w:t>
      </w:r>
      <w:proofErr w:type="spellStart"/>
      <w:r>
        <w:t>Dever</w:t>
      </w:r>
      <w:proofErr w:type="spellEnd"/>
      <w:r>
        <w:t>, "</w:t>
      </w:r>
      <w:proofErr w:type="spellStart"/>
      <w:r>
        <w:t>Syro</w:t>
      </w:r>
      <w:proofErr w:type="spellEnd"/>
      <w:r>
        <w:t xml:space="preserve">-Palestinian and Biblical Archaeology," in </w:t>
      </w:r>
      <w:proofErr w:type="gramStart"/>
      <w:r>
        <w:rPr>
          <w:i/>
          <w:iCs/>
        </w:rPr>
        <w:t>The</w:t>
      </w:r>
      <w:proofErr w:type="gramEnd"/>
      <w:r>
        <w:rPr>
          <w:i/>
          <w:iCs/>
        </w:rPr>
        <w:t xml:space="preserve"> Hebrew Bible and Its Modern Interpreters</w:t>
      </w:r>
      <w:r>
        <w:t>, ed. Douglas A. Knight and Gene M. Tucker (Philadelphia: Fortress, 1985), 31–74.</w:t>
      </w:r>
    </w:p>
    <w:p w:rsidR="008E4B08" w:rsidRDefault="00C51EF0">
      <w:pPr>
        <w:spacing w:after="160"/>
        <w:ind w:firstLine="720"/>
      </w:pPr>
      <w:r>
        <w:t xml:space="preserve">5. Philip J. King and Lawrence E. Stager, </w:t>
      </w:r>
      <w:r>
        <w:rPr>
          <w:i/>
          <w:iCs/>
        </w:rPr>
        <w:t>Life in Biblical Israel</w:t>
      </w:r>
      <w:r>
        <w:t xml:space="preserve"> (Louisville: Westminster John Knox, 2001).</w:t>
      </w:r>
    </w:p>
    <w:p w:rsidR="008E4B08" w:rsidRDefault="00C51EF0">
      <w:pPr>
        <w:spacing w:after="160"/>
        <w:ind w:firstLine="720"/>
      </w:pPr>
      <w:r>
        <w:t xml:space="preserve">6. See the discussion of weights and measures in King and Stager, </w:t>
      </w:r>
      <w:r>
        <w:rPr>
          <w:i/>
          <w:iCs/>
        </w:rPr>
        <w:t>Life in Biblical Israel</w:t>
      </w:r>
      <w:r>
        <w:t>.</w:t>
      </w:r>
    </w:p>
    <w:p w:rsidR="008E4B08" w:rsidRDefault="00C51EF0">
      <w:pPr>
        <w:spacing w:after="160"/>
        <w:ind w:firstLine="720"/>
      </w:pPr>
      <w:r>
        <w:t xml:space="preserve">7. William G. </w:t>
      </w:r>
      <w:proofErr w:type="spellStart"/>
      <w:r>
        <w:t>Dever</w:t>
      </w:r>
      <w:proofErr w:type="spellEnd"/>
      <w:r>
        <w:t xml:space="preserve">, </w:t>
      </w:r>
      <w:r>
        <w:rPr>
          <w:i/>
          <w:iCs/>
        </w:rPr>
        <w:t>Did God Have a Wife? Archaeology and Folk Religion in Ancient Israel</w:t>
      </w:r>
      <w:r>
        <w:t xml:space="preserve"> (Grand Rapids: Eerdmans, 2005).</w:t>
      </w:r>
    </w:p>
    <w:p w:rsidR="008E4B08" w:rsidRDefault="00C51EF0">
      <w:pPr>
        <w:spacing w:after="160"/>
        <w:ind w:firstLine="720"/>
      </w:pPr>
      <w:r>
        <w:t xml:space="preserve">8. Edwin M. Yamauchi, </w:t>
      </w:r>
      <w:proofErr w:type="gramStart"/>
      <w:r>
        <w:rPr>
          <w:i/>
          <w:iCs/>
        </w:rPr>
        <w:t>The</w:t>
      </w:r>
      <w:proofErr w:type="gramEnd"/>
      <w:r>
        <w:rPr>
          <w:i/>
          <w:iCs/>
        </w:rPr>
        <w:t xml:space="preserve"> Stones and the Scriptures</w:t>
      </w:r>
      <w:r>
        <w:t xml:space="preserve"> (Philadelphia: Lippincott, 1972).</w:t>
      </w:r>
    </w:p>
    <w:p w:rsidR="008E4B08" w:rsidRDefault="00C51EF0">
      <w:pPr>
        <w:pStyle w:val="Heading2"/>
        <w:keepNext/>
        <w:spacing w:before="240" w:after="120" w:line="300" w:lineRule="auto"/>
      </w:pPr>
      <w:bookmarkStart w:id="198" w:name="_Toc241908559"/>
      <w:r>
        <w:t>Unit Two: The History of Biblical Archaeology</w:t>
      </w:r>
      <w:bookmarkEnd w:id="198"/>
    </w:p>
    <w:p w:rsidR="008E4B08" w:rsidRDefault="00C51EF0">
      <w:pPr>
        <w:spacing w:after="160"/>
        <w:ind w:firstLine="720"/>
      </w:pPr>
      <w:r>
        <w:t xml:space="preserve">9. Edward Robinson and Eli Smith, </w:t>
      </w:r>
      <w:r>
        <w:rPr>
          <w:i/>
          <w:iCs/>
        </w:rPr>
        <w:t xml:space="preserve">Biblical Researches in Palestine, Mount Sinai and Arabia </w:t>
      </w:r>
      <w:proofErr w:type="spellStart"/>
      <w:r>
        <w:rPr>
          <w:i/>
          <w:iCs/>
        </w:rPr>
        <w:t>Petraea</w:t>
      </w:r>
      <w:proofErr w:type="spellEnd"/>
      <w:r>
        <w:t>, 3 vols. (Boston: Crocker &amp; Brewster, 1841).</w:t>
      </w:r>
    </w:p>
    <w:p w:rsidR="008E4B08" w:rsidRDefault="00C51EF0">
      <w:pPr>
        <w:spacing w:after="160"/>
        <w:ind w:firstLine="720"/>
      </w:pPr>
      <w:r>
        <w:t xml:space="preserve">10. Neil Asher Silberman, </w:t>
      </w:r>
      <w:r>
        <w:rPr>
          <w:i/>
          <w:iCs/>
        </w:rPr>
        <w:t>Digging for God and Country: Exploration, Archaeology, and the Secret Struggle for the Holy Land, 1799–1917</w:t>
      </w:r>
      <w:r>
        <w:t xml:space="preserve"> (New York: Knopf, 1982).</w:t>
      </w:r>
    </w:p>
    <w:p w:rsidR="008E4B08" w:rsidRDefault="00C51EF0">
      <w:pPr>
        <w:spacing w:after="160"/>
        <w:ind w:firstLine="720"/>
      </w:pPr>
      <w:r>
        <w:t xml:space="preserve">11. William F. Albright, </w:t>
      </w:r>
      <w:r>
        <w:rPr>
          <w:i/>
          <w:iCs/>
        </w:rPr>
        <w:t>From the Stone Age to Christianity: Monotheism and the Historical Process</w:t>
      </w:r>
      <w:r>
        <w:t xml:space="preserve"> (Baltimore: Johns Hopkins Press, 1940).</w:t>
      </w:r>
    </w:p>
    <w:p w:rsidR="008E4B08" w:rsidRDefault="00C51EF0">
      <w:pPr>
        <w:spacing w:after="160"/>
        <w:ind w:firstLine="720"/>
      </w:pPr>
      <w:r>
        <w:t xml:space="preserve">12. John Bright, </w:t>
      </w:r>
      <w:proofErr w:type="gramStart"/>
      <w:r>
        <w:rPr>
          <w:i/>
          <w:iCs/>
        </w:rPr>
        <w:t>A</w:t>
      </w:r>
      <w:proofErr w:type="gramEnd"/>
      <w:r>
        <w:rPr>
          <w:i/>
          <w:iCs/>
        </w:rPr>
        <w:t xml:space="preserve"> History of Israel</w:t>
      </w:r>
      <w:r>
        <w:t xml:space="preserve"> (Philadelphia: Westminster, 1959).</w:t>
      </w:r>
    </w:p>
    <w:p w:rsidR="008E4B08" w:rsidRDefault="00C51EF0">
      <w:pPr>
        <w:spacing w:after="160"/>
        <w:ind w:firstLine="720"/>
      </w:pPr>
      <w:r>
        <w:t xml:space="preserve">13. G. Ernest Wright, </w:t>
      </w:r>
      <w:r>
        <w:rPr>
          <w:i/>
          <w:iCs/>
        </w:rPr>
        <w:t>God Who Acts: Biblical Theology as Recital</w:t>
      </w:r>
      <w:r>
        <w:t xml:space="preserve"> (London: SCM, 1952).</w:t>
      </w:r>
    </w:p>
    <w:p w:rsidR="008E4B08" w:rsidRDefault="00C51EF0">
      <w:pPr>
        <w:spacing w:after="160"/>
        <w:ind w:firstLine="720"/>
      </w:pPr>
      <w:r>
        <w:t xml:space="preserve">14. Thomas L. Thompson, </w:t>
      </w:r>
      <w:r>
        <w:rPr>
          <w:i/>
          <w:iCs/>
        </w:rPr>
        <w:t>The Historicity of the Patriarchal Narratives: The Quest for the Historical Abraham</w:t>
      </w:r>
      <w:r>
        <w:t xml:space="preserve"> (Berlin: de </w:t>
      </w:r>
      <w:proofErr w:type="spellStart"/>
      <w:r>
        <w:t>Gruyter</w:t>
      </w:r>
      <w:proofErr w:type="spellEnd"/>
      <w:r>
        <w:t xml:space="preserve">, 1974); John Van </w:t>
      </w:r>
      <w:proofErr w:type="spellStart"/>
      <w:r>
        <w:t>Seters</w:t>
      </w:r>
      <w:proofErr w:type="spellEnd"/>
      <w:r>
        <w:t xml:space="preserve">, </w:t>
      </w:r>
      <w:r>
        <w:rPr>
          <w:i/>
          <w:iCs/>
        </w:rPr>
        <w:t>Abraham in History and Tradition</w:t>
      </w:r>
      <w:r>
        <w:t xml:space="preserve"> (New Haven: Yale University Press, 1975).</w:t>
      </w:r>
    </w:p>
    <w:p w:rsidR="008E4B08" w:rsidRDefault="00C51EF0">
      <w:pPr>
        <w:spacing w:after="160"/>
        <w:ind w:firstLine="720"/>
      </w:pPr>
      <w:r>
        <w:t xml:space="preserve">15. Philip R. Davies, </w:t>
      </w:r>
      <w:r>
        <w:rPr>
          <w:i/>
          <w:iCs/>
        </w:rPr>
        <w:t>In Search of "Ancient Israel"</w:t>
      </w:r>
      <w:r>
        <w:t xml:space="preserve">, </w:t>
      </w:r>
      <w:proofErr w:type="spellStart"/>
      <w:r>
        <w:t>JSOTSup</w:t>
      </w:r>
      <w:proofErr w:type="spellEnd"/>
      <w:r>
        <w:t xml:space="preserve"> 148 (Sheffield: JSOT Press, 1992); Keith W. </w:t>
      </w:r>
      <w:proofErr w:type="spellStart"/>
      <w:r>
        <w:t>Whitelam</w:t>
      </w:r>
      <w:proofErr w:type="spellEnd"/>
      <w:r>
        <w:t xml:space="preserve">, </w:t>
      </w:r>
      <w:r>
        <w:rPr>
          <w:i/>
          <w:iCs/>
        </w:rPr>
        <w:t>The Invention of Ancient Israel: The Silencing of Palestinian History</w:t>
      </w:r>
      <w:r>
        <w:t xml:space="preserve"> (London: Routledge, 1996).</w:t>
      </w:r>
    </w:p>
    <w:p w:rsidR="008E4B08" w:rsidRDefault="00C51EF0">
      <w:pPr>
        <w:spacing w:after="160"/>
        <w:ind w:firstLine="720"/>
      </w:pPr>
      <w:r>
        <w:t xml:space="preserve">16. K. A. Kitchen, </w:t>
      </w:r>
      <w:r>
        <w:rPr>
          <w:i/>
          <w:iCs/>
        </w:rPr>
        <w:t>On the Reliability of the Old Testament</w:t>
      </w:r>
      <w:r>
        <w:t xml:space="preserve"> (Grand Rapids: Eerdmans, 2003); James K. </w:t>
      </w:r>
      <w:proofErr w:type="spellStart"/>
      <w:r>
        <w:t>Hoffmeier</w:t>
      </w:r>
      <w:proofErr w:type="spellEnd"/>
      <w:r>
        <w:t xml:space="preserve">, </w:t>
      </w:r>
      <w:r>
        <w:rPr>
          <w:i/>
          <w:iCs/>
        </w:rPr>
        <w:t>Israel in Egypt: The Evidence for the Authenticity of the Exodus Tradition</w:t>
      </w:r>
      <w:r>
        <w:t xml:space="preserve"> (New York: Oxford University Press, 1997).</w:t>
      </w:r>
    </w:p>
    <w:p w:rsidR="008E4B08" w:rsidRDefault="00C51EF0">
      <w:pPr>
        <w:spacing w:after="160"/>
        <w:ind w:firstLine="720"/>
      </w:pPr>
      <w:r>
        <w:lastRenderedPageBreak/>
        <w:t xml:space="preserve">17. Israel Finkelstein and Neil Asher Silberman, </w:t>
      </w:r>
      <w:r>
        <w:rPr>
          <w:i/>
          <w:iCs/>
        </w:rPr>
        <w:t>The Bible Unearthed: Archaeology's New Vision of Ancient Israel and the Origin of Its Sacred Texts</w:t>
      </w:r>
      <w:r>
        <w:t xml:space="preserve"> (New York: Free Press, 2001).</w:t>
      </w:r>
    </w:p>
    <w:p w:rsidR="008E4B08" w:rsidRDefault="00C51EF0">
      <w:pPr>
        <w:pStyle w:val="Heading2"/>
        <w:keepNext/>
        <w:spacing w:before="240" w:after="120" w:line="300" w:lineRule="auto"/>
      </w:pPr>
      <w:bookmarkStart w:id="199" w:name="_Toc241908560"/>
      <w:r>
        <w:t>Unit Three: Methods of Archaeological Research</w:t>
      </w:r>
      <w:bookmarkEnd w:id="199"/>
    </w:p>
    <w:p w:rsidR="008E4B08" w:rsidRDefault="00C51EF0">
      <w:pPr>
        <w:spacing w:after="160"/>
        <w:ind w:firstLine="720"/>
      </w:pPr>
      <w:r>
        <w:t xml:space="preserve">18. Israel Finkelstein, </w:t>
      </w:r>
      <w:proofErr w:type="gramStart"/>
      <w:r>
        <w:rPr>
          <w:i/>
          <w:iCs/>
        </w:rPr>
        <w:t>The</w:t>
      </w:r>
      <w:proofErr w:type="gramEnd"/>
      <w:r>
        <w:rPr>
          <w:i/>
          <w:iCs/>
        </w:rPr>
        <w:t xml:space="preserve"> Archaeology of the Israelite Settlement</w:t>
      </w:r>
      <w:r>
        <w:t xml:space="preserve"> (Jerusalem: Israel Exploration Society, 1988).</w:t>
      </w:r>
    </w:p>
    <w:p w:rsidR="008E4B08" w:rsidRDefault="00C51EF0">
      <w:pPr>
        <w:spacing w:after="160"/>
        <w:ind w:firstLine="720"/>
      </w:pPr>
      <w:r>
        <w:t xml:space="preserve">19. </w:t>
      </w:r>
      <w:proofErr w:type="spellStart"/>
      <w:r>
        <w:t>Amihai</w:t>
      </w:r>
      <w:proofErr w:type="spellEnd"/>
      <w:r>
        <w:t xml:space="preserve"> </w:t>
      </w:r>
      <w:proofErr w:type="spellStart"/>
      <w:r>
        <w:t>Mazar</w:t>
      </w:r>
      <w:proofErr w:type="spellEnd"/>
      <w:r>
        <w:t xml:space="preserve"> and Christopher </w:t>
      </w:r>
      <w:proofErr w:type="spellStart"/>
      <w:r>
        <w:t>Bronk</w:t>
      </w:r>
      <w:proofErr w:type="spellEnd"/>
      <w:r>
        <w:t xml:space="preserve"> Ramsey, "14C Dates and the Iron Age Chronology of Israel: A Response," </w:t>
      </w:r>
      <w:r>
        <w:rPr>
          <w:i/>
          <w:iCs/>
        </w:rPr>
        <w:t>Radiocarbon</w:t>
      </w:r>
      <w:r>
        <w:t xml:space="preserve"> 50 (2008): 159–80.</w:t>
      </w:r>
    </w:p>
    <w:p w:rsidR="008E4B08" w:rsidRDefault="00C51EF0">
      <w:pPr>
        <w:spacing w:after="160"/>
        <w:ind w:firstLine="720"/>
      </w:pPr>
      <w:r>
        <w:t xml:space="preserve">20. Avraham Faust, </w:t>
      </w:r>
      <w:r>
        <w:rPr>
          <w:i/>
          <w:iCs/>
        </w:rPr>
        <w:t xml:space="preserve">Israel's </w:t>
      </w:r>
      <w:proofErr w:type="spellStart"/>
      <w:r>
        <w:rPr>
          <w:i/>
          <w:iCs/>
        </w:rPr>
        <w:t>Ethnogenesis</w:t>
      </w:r>
      <w:proofErr w:type="spellEnd"/>
      <w:r>
        <w:rPr>
          <w:i/>
          <w:iCs/>
        </w:rPr>
        <w:t>: Settlement, Interaction, Expansion and Resistance</w:t>
      </w:r>
      <w:r>
        <w:t xml:space="preserve"> (London: Equinox, 2006).</w:t>
      </w:r>
    </w:p>
    <w:p w:rsidR="008E4B08" w:rsidRDefault="00C51EF0">
      <w:pPr>
        <w:pStyle w:val="Heading2"/>
        <w:keepNext/>
        <w:spacing w:before="240" w:after="120" w:line="300" w:lineRule="auto"/>
      </w:pPr>
      <w:bookmarkStart w:id="200" w:name="_Toc241908561"/>
      <w:r>
        <w:t>Unit Four: Archaeology, History and Biblical Interpretation</w:t>
      </w:r>
      <w:bookmarkEnd w:id="200"/>
    </w:p>
    <w:p w:rsidR="008E4B08" w:rsidRDefault="00C51EF0">
      <w:pPr>
        <w:spacing w:after="160"/>
        <w:ind w:firstLine="720"/>
      </w:pPr>
      <w:r>
        <w:t xml:space="preserve">21. Iain </w:t>
      </w:r>
      <w:proofErr w:type="spellStart"/>
      <w:r>
        <w:t>Provan</w:t>
      </w:r>
      <w:proofErr w:type="spellEnd"/>
      <w:r>
        <w:t xml:space="preserve">, V. Philips Long, and </w:t>
      </w:r>
      <w:proofErr w:type="spellStart"/>
      <w:r>
        <w:t>Tremper</w:t>
      </w:r>
      <w:proofErr w:type="spellEnd"/>
      <w:r>
        <w:t xml:space="preserve"> Longman III, </w:t>
      </w:r>
      <w:r>
        <w:rPr>
          <w:i/>
          <w:iCs/>
        </w:rPr>
        <w:t>A Biblical History of Israel</w:t>
      </w:r>
      <w:r>
        <w:t>, 2nd ed. (Louisville: Westminster John Knox, 2015).</w:t>
      </w:r>
    </w:p>
    <w:p w:rsidR="008E4B08" w:rsidRDefault="00C51EF0">
      <w:pPr>
        <w:spacing w:after="160"/>
        <w:ind w:firstLine="720"/>
      </w:pPr>
      <w:r>
        <w:t xml:space="preserve">22. Israel Finkelstein and </w:t>
      </w:r>
      <w:proofErr w:type="spellStart"/>
      <w:r>
        <w:t>Amihai</w:t>
      </w:r>
      <w:proofErr w:type="spellEnd"/>
      <w:r>
        <w:t xml:space="preserve"> </w:t>
      </w:r>
      <w:proofErr w:type="spellStart"/>
      <w:r>
        <w:t>Mazar</w:t>
      </w:r>
      <w:proofErr w:type="spellEnd"/>
      <w:r>
        <w:t xml:space="preserve">, </w:t>
      </w:r>
      <w:proofErr w:type="gramStart"/>
      <w:r>
        <w:rPr>
          <w:i/>
          <w:iCs/>
        </w:rPr>
        <w:t>The</w:t>
      </w:r>
      <w:proofErr w:type="gramEnd"/>
      <w:r>
        <w:rPr>
          <w:i/>
          <w:iCs/>
        </w:rPr>
        <w:t xml:space="preserve"> Quest for the Historical Israel: Debating Archaeology and the History of Early Israel</w:t>
      </w:r>
      <w:r>
        <w:t>, ed. Brian B. Schmidt (Atlanta: Society of Biblical Literature, 2007).</w:t>
      </w:r>
    </w:p>
    <w:p w:rsidR="008E4B08" w:rsidRDefault="00C51EF0">
      <w:pPr>
        <w:pStyle w:val="Heading2"/>
        <w:keepNext/>
        <w:spacing w:before="240" w:after="120" w:line="300" w:lineRule="auto"/>
      </w:pPr>
      <w:bookmarkStart w:id="201" w:name="_Toc241908562"/>
      <w:r>
        <w:t>Unit Five: The Ancient Near Eastern World and the Bible</w:t>
      </w:r>
      <w:bookmarkEnd w:id="201"/>
    </w:p>
    <w:p w:rsidR="008E4B08" w:rsidRDefault="00C51EF0">
      <w:pPr>
        <w:spacing w:after="160"/>
        <w:ind w:firstLine="720"/>
      </w:pPr>
      <w:r>
        <w:t xml:space="preserve">23. John H. Walton, </w:t>
      </w:r>
      <w:r>
        <w:rPr>
          <w:i/>
          <w:iCs/>
        </w:rPr>
        <w:t>Ancient Near Eastern Thought and the Old Testament: Introducing the Conceptual World of the Hebrew Bible</w:t>
      </w:r>
      <w:r>
        <w:t>, 2nd ed. (Grand Rapids: Baker Academic, 2018).</w:t>
      </w:r>
    </w:p>
    <w:p w:rsidR="008E4B08" w:rsidRDefault="00C51EF0">
      <w:pPr>
        <w:spacing w:after="160"/>
        <w:ind w:firstLine="720"/>
      </w:pPr>
      <w:r>
        <w:t xml:space="preserve">24. George E. Mendenhall, </w:t>
      </w:r>
      <w:r>
        <w:rPr>
          <w:i/>
          <w:iCs/>
        </w:rPr>
        <w:t>Law and Covenant in Israel and the Ancient Near East</w:t>
      </w:r>
      <w:r>
        <w:t xml:space="preserve"> (Pittsburgh: Biblical Colloquium, 1955); K. A. Kitchen and Paul J. N. Lawrence, </w:t>
      </w:r>
      <w:r>
        <w:rPr>
          <w:i/>
          <w:iCs/>
        </w:rPr>
        <w:t>Treaty, Law and Covenant in the Ancient Near East</w:t>
      </w:r>
      <w:r>
        <w:t xml:space="preserve">, 3 vols. (Wiesbaden: </w:t>
      </w:r>
      <w:proofErr w:type="spellStart"/>
      <w:r>
        <w:t>Harrassowitz</w:t>
      </w:r>
      <w:proofErr w:type="spellEnd"/>
      <w:r>
        <w:t>, 2012).</w:t>
      </w:r>
    </w:p>
    <w:p w:rsidR="008E4B08" w:rsidRDefault="00C51EF0">
      <w:pPr>
        <w:spacing w:after="160"/>
        <w:ind w:firstLine="720"/>
      </w:pPr>
      <w:r>
        <w:t xml:space="preserve">25. </w:t>
      </w:r>
      <w:proofErr w:type="spellStart"/>
      <w:r>
        <w:t>Martti</w:t>
      </w:r>
      <w:proofErr w:type="spellEnd"/>
      <w:r>
        <w:t xml:space="preserve"> </w:t>
      </w:r>
      <w:proofErr w:type="spellStart"/>
      <w:r>
        <w:t>Nissinen</w:t>
      </w:r>
      <w:proofErr w:type="spellEnd"/>
      <w:r>
        <w:t xml:space="preserve">, </w:t>
      </w:r>
      <w:r>
        <w:rPr>
          <w:i/>
          <w:iCs/>
        </w:rPr>
        <w:t xml:space="preserve">Prophets and Prophecy in the Ancient </w:t>
      </w:r>
      <w:proofErr w:type="gramStart"/>
      <w:r>
        <w:rPr>
          <w:i/>
          <w:iCs/>
        </w:rPr>
        <w:t>Near</w:t>
      </w:r>
      <w:proofErr w:type="gramEnd"/>
      <w:r>
        <w:rPr>
          <w:i/>
          <w:iCs/>
        </w:rPr>
        <w:t xml:space="preserve"> East</w:t>
      </w:r>
      <w:r>
        <w:t>, Writings from the Ancient World 12 (Atlanta: Society of Biblical Literature, 2003).</w:t>
      </w:r>
    </w:p>
    <w:p w:rsidR="008E4B08" w:rsidRDefault="00C51EF0">
      <w:pPr>
        <w:spacing w:after="160"/>
        <w:ind w:firstLine="720"/>
      </w:pPr>
      <w:r>
        <w:t xml:space="preserve">26. Giovanni </w:t>
      </w:r>
      <w:proofErr w:type="spellStart"/>
      <w:r>
        <w:t>Pettinato</w:t>
      </w:r>
      <w:proofErr w:type="spellEnd"/>
      <w:r>
        <w:t xml:space="preserve">, </w:t>
      </w:r>
      <w:proofErr w:type="gramStart"/>
      <w:r>
        <w:rPr>
          <w:i/>
          <w:iCs/>
        </w:rPr>
        <w:t>The</w:t>
      </w:r>
      <w:proofErr w:type="gramEnd"/>
      <w:r>
        <w:rPr>
          <w:i/>
          <w:iCs/>
        </w:rPr>
        <w:t xml:space="preserve"> Archives of Ebla: An Empire Inscribed in Clay</w:t>
      </w:r>
      <w:r>
        <w:t xml:space="preserve"> (Garden City, NY: Doubleday, 1981).</w:t>
      </w:r>
    </w:p>
    <w:p w:rsidR="008E4B08" w:rsidRDefault="00C51EF0">
      <w:pPr>
        <w:spacing w:after="160"/>
        <w:ind w:firstLine="720"/>
      </w:pPr>
      <w:r>
        <w:t xml:space="preserve">27. Peter C. Craigie, </w:t>
      </w:r>
      <w:r>
        <w:rPr>
          <w:i/>
          <w:iCs/>
        </w:rPr>
        <w:t>Ugarit and the Old Testament</w:t>
      </w:r>
      <w:r>
        <w:t xml:space="preserve"> (Grand Rapids: Eerdmans, 1983).</w:t>
      </w:r>
    </w:p>
    <w:p w:rsidR="008E4B08" w:rsidRDefault="00C51EF0">
      <w:pPr>
        <w:spacing w:after="160"/>
        <w:ind w:firstLine="720"/>
      </w:pPr>
      <w:r>
        <w:t xml:space="preserve">28. William L. Moran, ed. and trans., </w:t>
      </w:r>
      <w:proofErr w:type="gramStart"/>
      <w:r>
        <w:rPr>
          <w:i/>
          <w:iCs/>
        </w:rPr>
        <w:t>The</w:t>
      </w:r>
      <w:proofErr w:type="gramEnd"/>
      <w:r>
        <w:rPr>
          <w:i/>
          <w:iCs/>
        </w:rPr>
        <w:t xml:space="preserve"> Amarna Letters</w:t>
      </w:r>
      <w:r>
        <w:t xml:space="preserve"> (Baltimore: Johns Hopkins University Press, 1992).</w:t>
      </w:r>
    </w:p>
    <w:p w:rsidR="008E4B08" w:rsidRDefault="00C51EF0">
      <w:pPr>
        <w:spacing w:after="160"/>
        <w:ind w:firstLine="720"/>
      </w:pPr>
      <w:r>
        <w:t xml:space="preserve">29. James B. Pritchard, ed., </w:t>
      </w:r>
      <w:r>
        <w:rPr>
          <w:i/>
          <w:iCs/>
        </w:rPr>
        <w:t>Ancient Near Eastern Texts Relating to the Old Testament</w:t>
      </w:r>
      <w:r>
        <w:t>, 3rd ed. with supplement (Princeton: Princeton University Press, 1969).</w:t>
      </w:r>
    </w:p>
    <w:p w:rsidR="008E4B08" w:rsidRDefault="00C51EF0">
      <w:pPr>
        <w:spacing w:after="160"/>
        <w:ind w:firstLine="720"/>
      </w:pPr>
      <w:r>
        <w:t xml:space="preserve">30. William W. Hallo and K. Lawson Younger Jr., eds., </w:t>
      </w:r>
      <w:r>
        <w:rPr>
          <w:i/>
          <w:iCs/>
        </w:rPr>
        <w:t>The Context of Scripture</w:t>
      </w:r>
      <w:r>
        <w:t>, 4 vols. (Leiden: Brill, 1997–2017).</w:t>
      </w:r>
    </w:p>
    <w:p w:rsidR="008E4B08" w:rsidRDefault="00C51EF0">
      <w:pPr>
        <w:spacing w:after="160"/>
        <w:ind w:firstLine="720"/>
      </w:pPr>
      <w:r>
        <w:t xml:space="preserve">31. Samuel </w:t>
      </w:r>
      <w:proofErr w:type="spellStart"/>
      <w:r>
        <w:t>Sandmel</w:t>
      </w:r>
      <w:proofErr w:type="spellEnd"/>
      <w:r>
        <w:t>, "</w:t>
      </w:r>
      <w:proofErr w:type="spellStart"/>
      <w:r>
        <w:t>Parallelomania</w:t>
      </w:r>
      <w:proofErr w:type="spellEnd"/>
      <w:r>
        <w:t xml:space="preserve">," </w:t>
      </w:r>
      <w:r>
        <w:rPr>
          <w:i/>
          <w:iCs/>
        </w:rPr>
        <w:t>Journal of Biblical Literature</w:t>
      </w:r>
      <w:r>
        <w:t xml:space="preserve"> 81 (1962): 1–13.</w:t>
      </w:r>
    </w:p>
    <w:p w:rsidR="008E4B08" w:rsidRDefault="00C51EF0">
      <w:pPr>
        <w:spacing w:after="160"/>
        <w:ind w:firstLine="720"/>
      </w:pPr>
      <w:r>
        <w:lastRenderedPageBreak/>
        <w:t xml:space="preserve">32. William W. Hallo, "Biblical History in Its Near Eastern Setting: The Contextual Approach," in </w:t>
      </w:r>
      <w:r>
        <w:rPr>
          <w:i/>
          <w:iCs/>
        </w:rPr>
        <w:t>Scripture in Context: Essays on the Comparative Method</w:t>
      </w:r>
      <w:r>
        <w:t>, ed. Carl D. Evans, William W. Hallo, and John B. White (Pittsburgh: Pickwick, 1980), 1–26.</w:t>
      </w:r>
    </w:p>
    <w:p w:rsidR="008E4B08" w:rsidRDefault="00C51EF0">
      <w:pPr>
        <w:pStyle w:val="Heading2"/>
        <w:keepNext/>
        <w:spacing w:before="240" w:after="120" w:line="300" w:lineRule="auto"/>
      </w:pPr>
      <w:bookmarkStart w:id="202" w:name="_Toc241908563"/>
      <w:r>
        <w:t>Unit Six: Archaeology and the Patriarchal Narratives</w:t>
      </w:r>
      <w:bookmarkEnd w:id="202"/>
    </w:p>
    <w:p w:rsidR="008E4B08" w:rsidRDefault="00C51EF0">
      <w:pPr>
        <w:spacing w:after="160"/>
        <w:ind w:firstLine="720"/>
      </w:pPr>
      <w:r>
        <w:t xml:space="preserve">33. Bright, </w:t>
      </w:r>
      <w:proofErr w:type="gramStart"/>
      <w:r>
        <w:rPr>
          <w:i/>
          <w:iCs/>
        </w:rPr>
        <w:t>A</w:t>
      </w:r>
      <w:proofErr w:type="gramEnd"/>
      <w:r>
        <w:rPr>
          <w:i/>
          <w:iCs/>
        </w:rPr>
        <w:t xml:space="preserve"> History of Israel</w:t>
      </w:r>
      <w:r>
        <w:t>.</w:t>
      </w:r>
    </w:p>
    <w:p w:rsidR="008E4B08" w:rsidRDefault="00C51EF0">
      <w:pPr>
        <w:spacing w:after="160"/>
        <w:ind w:firstLine="720"/>
      </w:pPr>
      <w:r>
        <w:t xml:space="preserve">34. Thompson, </w:t>
      </w:r>
      <w:r>
        <w:rPr>
          <w:i/>
          <w:iCs/>
        </w:rPr>
        <w:t>Historicity of the Patriarchal Narratives</w:t>
      </w:r>
      <w:r>
        <w:t>.</w:t>
      </w:r>
    </w:p>
    <w:p w:rsidR="008E4B08" w:rsidRDefault="00C51EF0">
      <w:pPr>
        <w:spacing w:after="160"/>
        <w:ind w:firstLine="720"/>
      </w:pPr>
      <w:r>
        <w:t xml:space="preserve">35. Van </w:t>
      </w:r>
      <w:proofErr w:type="spellStart"/>
      <w:r>
        <w:t>Seters</w:t>
      </w:r>
      <w:proofErr w:type="spellEnd"/>
      <w:r>
        <w:t xml:space="preserve">, </w:t>
      </w:r>
      <w:r>
        <w:rPr>
          <w:i/>
          <w:iCs/>
        </w:rPr>
        <w:t>Abraham in History and Tradition</w:t>
      </w:r>
      <w:r>
        <w:t>.</w:t>
      </w:r>
    </w:p>
    <w:p w:rsidR="008E4B08" w:rsidRDefault="00C51EF0">
      <w:pPr>
        <w:spacing w:after="160"/>
        <w:ind w:firstLine="720"/>
      </w:pPr>
      <w:r>
        <w:t xml:space="preserve">36. M. J. Selman, "Comparative Customs and the Patriarchal Age," in </w:t>
      </w:r>
      <w:r>
        <w:rPr>
          <w:i/>
          <w:iCs/>
        </w:rPr>
        <w:t>Essays on the Patriarchal Narratives</w:t>
      </w:r>
      <w:r>
        <w:t>, ed. A. R. Millard and D. J. Wiseman (Leicester: Inter-Varsity Press, 1980), 91–139.</w:t>
      </w:r>
    </w:p>
    <w:p w:rsidR="008E4B08" w:rsidRDefault="00C51EF0">
      <w:pPr>
        <w:spacing w:after="160"/>
        <w:ind w:firstLine="720"/>
      </w:pPr>
      <w:r>
        <w:t xml:space="preserve">37. Kitchen, </w:t>
      </w:r>
      <w:r>
        <w:rPr>
          <w:i/>
          <w:iCs/>
        </w:rPr>
        <w:t>On the Reliability of the Old Testament</w:t>
      </w:r>
      <w:r>
        <w:t>.</w:t>
      </w:r>
    </w:p>
    <w:p w:rsidR="008E4B08" w:rsidRDefault="00C51EF0">
      <w:pPr>
        <w:spacing w:after="160"/>
        <w:ind w:firstLine="720"/>
      </w:pPr>
      <w:r>
        <w:t xml:space="preserve">38. Lidar Sapir-Hen and </w:t>
      </w:r>
      <w:proofErr w:type="spellStart"/>
      <w:r>
        <w:t>Erez</w:t>
      </w:r>
      <w:proofErr w:type="spellEnd"/>
      <w:r>
        <w:t xml:space="preserve"> Ben-Yosef, "The Introduction of Domestic Camels to the Southern Levant: Evidence from the </w:t>
      </w:r>
      <w:proofErr w:type="spellStart"/>
      <w:r>
        <w:t>Aravah</w:t>
      </w:r>
      <w:proofErr w:type="spellEnd"/>
      <w:r>
        <w:t xml:space="preserve"> Valley," </w:t>
      </w:r>
      <w:r>
        <w:rPr>
          <w:i/>
          <w:iCs/>
        </w:rPr>
        <w:t>Tel Aviv</w:t>
      </w:r>
      <w:r>
        <w:t xml:space="preserve"> 40 (2013): 277–85.</w:t>
      </w:r>
    </w:p>
    <w:p w:rsidR="008E4B08" w:rsidRDefault="00C51EF0">
      <w:pPr>
        <w:spacing w:after="160"/>
        <w:ind w:firstLine="720"/>
      </w:pPr>
      <w:r>
        <w:t xml:space="preserve">39. </w:t>
      </w:r>
      <w:proofErr w:type="spellStart"/>
      <w:r>
        <w:t>Hoffmeier</w:t>
      </w:r>
      <w:proofErr w:type="spellEnd"/>
      <w:r>
        <w:t xml:space="preserve">, </w:t>
      </w:r>
      <w:r>
        <w:rPr>
          <w:i/>
          <w:iCs/>
        </w:rPr>
        <w:t>Israel in Egypt</w:t>
      </w:r>
      <w:r>
        <w:t xml:space="preserve">; Donald B. Redford, </w:t>
      </w:r>
      <w:r>
        <w:rPr>
          <w:i/>
          <w:iCs/>
        </w:rPr>
        <w:t>A Study of the Biblical Story of Joseph (Genesis 37–50)</w:t>
      </w:r>
      <w:r>
        <w:t xml:space="preserve">, </w:t>
      </w:r>
      <w:proofErr w:type="spellStart"/>
      <w:r>
        <w:t>VTSup</w:t>
      </w:r>
      <w:proofErr w:type="spellEnd"/>
      <w:r>
        <w:t xml:space="preserve"> 20 (Leiden: Brill, 1970).</w:t>
      </w:r>
    </w:p>
    <w:p w:rsidR="008E4B08" w:rsidRDefault="00C51EF0">
      <w:pPr>
        <w:spacing w:after="160"/>
        <w:ind w:firstLine="720"/>
      </w:pPr>
      <w:r>
        <w:t xml:space="preserve">40. A. R. Millard, "Methods of Studying the Patriarchal Narratives as Ancient Texts," in Millard and Wiseman, </w:t>
      </w:r>
      <w:r>
        <w:rPr>
          <w:i/>
          <w:iCs/>
        </w:rPr>
        <w:t>Essays on the Patriarchal Narratives</w:t>
      </w:r>
      <w:r>
        <w:t>, 35–51.</w:t>
      </w:r>
    </w:p>
    <w:p w:rsidR="008E4B08" w:rsidRDefault="00C51EF0">
      <w:pPr>
        <w:pStyle w:val="Heading2"/>
        <w:keepNext/>
        <w:spacing w:before="240" w:after="120" w:line="300" w:lineRule="auto"/>
      </w:pPr>
      <w:bookmarkStart w:id="203" w:name="_Toc241908564"/>
      <w:r>
        <w:t>Unit Seven: The Exodus and the Settlement in Canaan</w:t>
      </w:r>
      <w:bookmarkEnd w:id="203"/>
    </w:p>
    <w:p w:rsidR="008E4B08" w:rsidRDefault="00C51EF0">
      <w:pPr>
        <w:spacing w:after="160"/>
        <w:ind w:firstLine="720"/>
      </w:pPr>
      <w:r>
        <w:t xml:space="preserve">41. </w:t>
      </w:r>
      <w:proofErr w:type="spellStart"/>
      <w:r>
        <w:t>Hoffmeier</w:t>
      </w:r>
      <w:proofErr w:type="spellEnd"/>
      <w:r>
        <w:t xml:space="preserve">, </w:t>
      </w:r>
      <w:r>
        <w:rPr>
          <w:i/>
          <w:iCs/>
        </w:rPr>
        <w:t>Israel in Egypt</w:t>
      </w:r>
      <w:r>
        <w:t xml:space="preserve">; James K. </w:t>
      </w:r>
      <w:proofErr w:type="spellStart"/>
      <w:r>
        <w:t>Hoffmeier</w:t>
      </w:r>
      <w:proofErr w:type="spellEnd"/>
      <w:r>
        <w:t xml:space="preserve">, </w:t>
      </w:r>
      <w:r>
        <w:rPr>
          <w:i/>
          <w:iCs/>
        </w:rPr>
        <w:t>Ancient Israel in Sinai: The Evidence for the Authenticity of the Wilderness Tradition</w:t>
      </w:r>
      <w:r>
        <w:t xml:space="preserve"> (New York: Oxford University Press, 2005).</w:t>
      </w:r>
    </w:p>
    <w:p w:rsidR="008E4B08" w:rsidRDefault="00C51EF0">
      <w:pPr>
        <w:spacing w:after="160"/>
        <w:ind w:firstLine="720"/>
      </w:pPr>
      <w:r>
        <w:t xml:space="preserve">42. Michael G. </w:t>
      </w:r>
      <w:proofErr w:type="spellStart"/>
      <w:r>
        <w:t>Hasel</w:t>
      </w:r>
      <w:proofErr w:type="spellEnd"/>
      <w:r>
        <w:t xml:space="preserve">, "Israel in the </w:t>
      </w:r>
      <w:proofErr w:type="spellStart"/>
      <w:r>
        <w:t>Merneptah</w:t>
      </w:r>
      <w:proofErr w:type="spellEnd"/>
      <w:r>
        <w:t xml:space="preserve"> Stela," </w:t>
      </w:r>
      <w:r>
        <w:rPr>
          <w:i/>
          <w:iCs/>
        </w:rPr>
        <w:t>Bulletin of the American Schools of Oriental Research</w:t>
      </w:r>
      <w:r>
        <w:t xml:space="preserve"> 296 (1994): 45–61.</w:t>
      </w:r>
    </w:p>
    <w:p w:rsidR="008E4B08" w:rsidRDefault="00C51EF0">
      <w:pPr>
        <w:spacing w:after="160"/>
        <w:ind w:firstLine="720"/>
      </w:pPr>
      <w:r>
        <w:t xml:space="preserve">43. John J. </w:t>
      </w:r>
      <w:proofErr w:type="spellStart"/>
      <w:r>
        <w:t>Bimson</w:t>
      </w:r>
      <w:proofErr w:type="spellEnd"/>
      <w:r>
        <w:t xml:space="preserve">, </w:t>
      </w:r>
      <w:proofErr w:type="spellStart"/>
      <w:r>
        <w:rPr>
          <w:i/>
          <w:iCs/>
        </w:rPr>
        <w:t>Redating</w:t>
      </w:r>
      <w:proofErr w:type="spellEnd"/>
      <w:r>
        <w:rPr>
          <w:i/>
          <w:iCs/>
        </w:rPr>
        <w:t xml:space="preserve"> the Exodus and Conquest</w:t>
      </w:r>
      <w:r>
        <w:t xml:space="preserve">, </w:t>
      </w:r>
      <w:proofErr w:type="spellStart"/>
      <w:r>
        <w:t>JSOTSup</w:t>
      </w:r>
      <w:proofErr w:type="spellEnd"/>
      <w:r>
        <w:t xml:space="preserve"> 5 (Sheffield: JSOT Press, 1978).</w:t>
      </w:r>
    </w:p>
    <w:p w:rsidR="008E4B08" w:rsidRDefault="00C51EF0">
      <w:pPr>
        <w:spacing w:after="160"/>
        <w:ind w:firstLine="720"/>
      </w:pPr>
      <w:r>
        <w:t xml:space="preserve">44. John </w:t>
      </w:r>
      <w:proofErr w:type="spellStart"/>
      <w:r>
        <w:t>Garstang</w:t>
      </w:r>
      <w:proofErr w:type="spellEnd"/>
      <w:r>
        <w:t xml:space="preserve"> and J. B. E. </w:t>
      </w:r>
      <w:proofErr w:type="spellStart"/>
      <w:r>
        <w:t>Garstang</w:t>
      </w:r>
      <w:proofErr w:type="spellEnd"/>
      <w:r>
        <w:t xml:space="preserve">, </w:t>
      </w:r>
      <w:proofErr w:type="gramStart"/>
      <w:r>
        <w:rPr>
          <w:i/>
          <w:iCs/>
        </w:rPr>
        <w:t>The</w:t>
      </w:r>
      <w:proofErr w:type="gramEnd"/>
      <w:r>
        <w:rPr>
          <w:i/>
          <w:iCs/>
        </w:rPr>
        <w:t xml:space="preserve"> Story of Jericho</w:t>
      </w:r>
      <w:r>
        <w:t xml:space="preserve"> (London: Hodder &amp; Stoughton, 1940).</w:t>
      </w:r>
    </w:p>
    <w:p w:rsidR="008E4B08" w:rsidRDefault="00C51EF0">
      <w:pPr>
        <w:spacing w:after="160"/>
        <w:ind w:firstLine="720"/>
      </w:pPr>
      <w:r>
        <w:t xml:space="preserve">45. Kathleen M. Kenyon, </w:t>
      </w:r>
      <w:r>
        <w:rPr>
          <w:i/>
          <w:iCs/>
        </w:rPr>
        <w:t>Digging Up Jericho</w:t>
      </w:r>
      <w:r>
        <w:t xml:space="preserve"> (London: Ernest Benn, 1957).</w:t>
      </w:r>
    </w:p>
    <w:p w:rsidR="008E4B08" w:rsidRDefault="00C51EF0">
      <w:pPr>
        <w:spacing w:after="160"/>
        <w:ind w:firstLine="720"/>
      </w:pPr>
      <w:r>
        <w:t xml:space="preserve">46. Bryant G. Wood, "Did the Israelites Conquer Jericho? A New Look at the Archaeological Evidence," </w:t>
      </w:r>
      <w:r>
        <w:rPr>
          <w:i/>
          <w:iCs/>
        </w:rPr>
        <w:t>Biblical Archaeology Review</w:t>
      </w:r>
      <w:r>
        <w:t xml:space="preserve"> 16, no. 2 (1990): 44–58.</w:t>
      </w:r>
    </w:p>
    <w:p w:rsidR="008E4B08" w:rsidRDefault="00C51EF0">
      <w:pPr>
        <w:spacing w:after="160"/>
        <w:ind w:firstLine="720"/>
      </w:pPr>
      <w:r>
        <w:t xml:space="preserve">47. Joseph A. Callaway, "Ai," in </w:t>
      </w:r>
      <w:r>
        <w:rPr>
          <w:i/>
          <w:iCs/>
        </w:rPr>
        <w:t>The New Encyclopedia of Archaeological Excavations in the Holy Land</w:t>
      </w:r>
      <w:r>
        <w:t>, ed. Ephraim Stern (Jerusalem: Israel Exploration Society; New York: Simon &amp; Schuster, 1993), vol. 1.</w:t>
      </w:r>
    </w:p>
    <w:p w:rsidR="008E4B08" w:rsidRDefault="00C51EF0">
      <w:pPr>
        <w:spacing w:after="160"/>
        <w:ind w:firstLine="720"/>
      </w:pPr>
      <w:r>
        <w:t xml:space="preserve">48. </w:t>
      </w:r>
      <w:proofErr w:type="spellStart"/>
      <w:r>
        <w:t>Amnon</w:t>
      </w:r>
      <w:proofErr w:type="spellEnd"/>
      <w:r>
        <w:t xml:space="preserve"> Ben-Tor and Maria Teresa </w:t>
      </w:r>
      <w:proofErr w:type="spellStart"/>
      <w:r>
        <w:t>Rubiato</w:t>
      </w:r>
      <w:proofErr w:type="spellEnd"/>
      <w:r>
        <w:t xml:space="preserve">, "Excavating </w:t>
      </w:r>
      <w:proofErr w:type="spellStart"/>
      <w:r>
        <w:t>Hazor</w:t>
      </w:r>
      <w:proofErr w:type="spellEnd"/>
      <w:r>
        <w:t xml:space="preserve">, Part Two: Did the Israelites Destroy the Canaanite City?" </w:t>
      </w:r>
      <w:r>
        <w:rPr>
          <w:i/>
          <w:iCs/>
        </w:rPr>
        <w:t>Biblical Archaeology Review</w:t>
      </w:r>
      <w:r>
        <w:t xml:space="preserve"> 25, no. 3 (1999): 22–39.</w:t>
      </w:r>
    </w:p>
    <w:p w:rsidR="008E4B08" w:rsidRDefault="00C51EF0">
      <w:pPr>
        <w:spacing w:after="160"/>
        <w:ind w:firstLine="720"/>
      </w:pPr>
      <w:r>
        <w:t xml:space="preserve">49. George E. Mendenhall, "The Hebrew Conquest of Palestine," </w:t>
      </w:r>
      <w:r>
        <w:rPr>
          <w:i/>
          <w:iCs/>
        </w:rPr>
        <w:t>Biblical Archaeologist</w:t>
      </w:r>
      <w:r>
        <w:t xml:space="preserve"> 25 (1962): 66–87; Norman K. </w:t>
      </w:r>
      <w:proofErr w:type="spellStart"/>
      <w:r>
        <w:t>Gottwald</w:t>
      </w:r>
      <w:proofErr w:type="spellEnd"/>
      <w:r>
        <w:t xml:space="preserve">, </w:t>
      </w:r>
      <w:proofErr w:type="gramStart"/>
      <w:r>
        <w:rPr>
          <w:i/>
          <w:iCs/>
        </w:rPr>
        <w:t>The</w:t>
      </w:r>
      <w:proofErr w:type="gramEnd"/>
      <w:r>
        <w:rPr>
          <w:i/>
          <w:iCs/>
        </w:rPr>
        <w:t xml:space="preserve"> Tribes of Yahweh: A Sociology of the Religion of Liberated Israel, 1250–1050 B.C.E.</w:t>
      </w:r>
      <w:r>
        <w:t xml:space="preserve"> (</w:t>
      </w:r>
      <w:proofErr w:type="spellStart"/>
      <w:r>
        <w:t>Maryknoll</w:t>
      </w:r>
      <w:proofErr w:type="spellEnd"/>
      <w:r>
        <w:t xml:space="preserve">, NY: </w:t>
      </w:r>
      <w:proofErr w:type="spellStart"/>
      <w:r>
        <w:t>Orbis</w:t>
      </w:r>
      <w:proofErr w:type="spellEnd"/>
      <w:r>
        <w:t>, 1979).</w:t>
      </w:r>
    </w:p>
    <w:p w:rsidR="008E4B08" w:rsidRDefault="00C51EF0">
      <w:pPr>
        <w:spacing w:after="160"/>
        <w:ind w:firstLine="720"/>
      </w:pPr>
      <w:r>
        <w:lastRenderedPageBreak/>
        <w:t xml:space="preserve">50. Finkelstein, </w:t>
      </w:r>
      <w:r>
        <w:rPr>
          <w:i/>
          <w:iCs/>
        </w:rPr>
        <w:t>Archaeology of the Israelite Settlement</w:t>
      </w:r>
      <w:r>
        <w:t xml:space="preserve">; William G. </w:t>
      </w:r>
      <w:proofErr w:type="spellStart"/>
      <w:r>
        <w:t>Dever</w:t>
      </w:r>
      <w:proofErr w:type="spellEnd"/>
      <w:r>
        <w:t xml:space="preserve">, </w:t>
      </w:r>
      <w:r>
        <w:rPr>
          <w:i/>
          <w:iCs/>
        </w:rPr>
        <w:t>Who Were the Early Israelites and Where Did They Come From?</w:t>
      </w:r>
      <w:r>
        <w:t xml:space="preserve"> (Grand Rapids: Eerdmans, 2003).</w:t>
      </w:r>
    </w:p>
    <w:p w:rsidR="008E4B08" w:rsidRDefault="00C51EF0">
      <w:pPr>
        <w:spacing w:after="160"/>
        <w:ind w:firstLine="720"/>
      </w:pPr>
      <w:r>
        <w:t xml:space="preserve">51. K. Lawson Younger Jr., </w:t>
      </w:r>
      <w:r>
        <w:rPr>
          <w:i/>
          <w:iCs/>
        </w:rPr>
        <w:t>Ancient Conquest Accounts: A Study in Ancient Near Eastern and Biblical History Writing</w:t>
      </w:r>
      <w:r>
        <w:t xml:space="preserve">, </w:t>
      </w:r>
      <w:proofErr w:type="spellStart"/>
      <w:r>
        <w:t>JSOTSup</w:t>
      </w:r>
      <w:proofErr w:type="spellEnd"/>
      <w:r>
        <w:t xml:space="preserve"> 98 (Sheffield: JSOT Press, 1990).</w:t>
      </w:r>
    </w:p>
    <w:p w:rsidR="008E4B08" w:rsidRDefault="00C51EF0">
      <w:pPr>
        <w:pStyle w:val="Heading2"/>
        <w:keepNext/>
        <w:spacing w:before="240" w:after="120" w:line="300" w:lineRule="auto"/>
      </w:pPr>
      <w:bookmarkStart w:id="204" w:name="_Toc241908565"/>
      <w:r>
        <w:t>Unit Eight: The United Monarchy: David and Solomon</w:t>
      </w:r>
      <w:bookmarkEnd w:id="204"/>
    </w:p>
    <w:p w:rsidR="008E4B08" w:rsidRDefault="00C51EF0">
      <w:pPr>
        <w:spacing w:after="160"/>
        <w:ind w:firstLine="720"/>
      </w:pPr>
      <w:r>
        <w:t xml:space="preserve">52. Avraham </w:t>
      </w:r>
      <w:proofErr w:type="spellStart"/>
      <w:r>
        <w:t>Biran</w:t>
      </w:r>
      <w:proofErr w:type="spellEnd"/>
      <w:r>
        <w:t xml:space="preserve"> and Joseph </w:t>
      </w:r>
      <w:proofErr w:type="spellStart"/>
      <w:r>
        <w:t>Naveh</w:t>
      </w:r>
      <w:proofErr w:type="spellEnd"/>
      <w:r>
        <w:t xml:space="preserve">, "An Aramaic Stele Fragment from Tel Dan," </w:t>
      </w:r>
      <w:r>
        <w:rPr>
          <w:i/>
          <w:iCs/>
        </w:rPr>
        <w:t>Israel Exploration Journal</w:t>
      </w:r>
      <w:r>
        <w:t xml:space="preserve"> 43 (1993): 81–98; Avraham </w:t>
      </w:r>
      <w:proofErr w:type="spellStart"/>
      <w:r>
        <w:t>Biran</w:t>
      </w:r>
      <w:proofErr w:type="spellEnd"/>
      <w:r>
        <w:t xml:space="preserve"> and Joseph </w:t>
      </w:r>
      <w:proofErr w:type="spellStart"/>
      <w:r>
        <w:t>Naveh</w:t>
      </w:r>
      <w:proofErr w:type="spellEnd"/>
      <w:r>
        <w:t xml:space="preserve">, "The Tel Dan Inscription: A New Fragment," </w:t>
      </w:r>
      <w:r>
        <w:rPr>
          <w:i/>
          <w:iCs/>
        </w:rPr>
        <w:t>Israel Exploration Journal</w:t>
      </w:r>
      <w:r>
        <w:t xml:space="preserve"> 45 (1995): 1–18.</w:t>
      </w:r>
    </w:p>
    <w:p w:rsidR="008E4B08" w:rsidRDefault="00C51EF0">
      <w:pPr>
        <w:spacing w:after="160"/>
        <w:ind w:firstLine="720"/>
      </w:pPr>
      <w:r>
        <w:t xml:space="preserve">53. André </w:t>
      </w:r>
      <w:proofErr w:type="spellStart"/>
      <w:r>
        <w:t>Lemaire</w:t>
      </w:r>
      <w:proofErr w:type="spellEnd"/>
      <w:r>
        <w:t xml:space="preserve">, "'House of David' Restored in Moabite Inscription," </w:t>
      </w:r>
      <w:r>
        <w:rPr>
          <w:i/>
          <w:iCs/>
        </w:rPr>
        <w:t>Biblical Archaeology Review</w:t>
      </w:r>
      <w:r>
        <w:t xml:space="preserve"> 20, no. 3 (1994): 30–37.</w:t>
      </w:r>
    </w:p>
    <w:p w:rsidR="008E4B08" w:rsidRDefault="00C51EF0">
      <w:pPr>
        <w:spacing w:after="160"/>
        <w:ind w:firstLine="720"/>
      </w:pPr>
      <w:r>
        <w:t xml:space="preserve">54. </w:t>
      </w:r>
      <w:proofErr w:type="spellStart"/>
      <w:r>
        <w:t>Yigael</w:t>
      </w:r>
      <w:proofErr w:type="spellEnd"/>
      <w:r>
        <w:t xml:space="preserve"> </w:t>
      </w:r>
      <w:proofErr w:type="spellStart"/>
      <w:r>
        <w:t>Yadin</w:t>
      </w:r>
      <w:proofErr w:type="spellEnd"/>
      <w:r>
        <w:t xml:space="preserve">, "Solomon's City Wall and Gate at Gezer," </w:t>
      </w:r>
      <w:r>
        <w:rPr>
          <w:i/>
          <w:iCs/>
        </w:rPr>
        <w:t>Israel Exploration Journal</w:t>
      </w:r>
      <w:r>
        <w:t xml:space="preserve"> 8 (1958): 80–86.</w:t>
      </w:r>
    </w:p>
    <w:p w:rsidR="008E4B08" w:rsidRDefault="00C51EF0">
      <w:pPr>
        <w:spacing w:after="160"/>
        <w:ind w:firstLine="720"/>
      </w:pPr>
      <w:r>
        <w:t xml:space="preserve">55. Israel Finkelstein, "The Archaeology of the United Monarchy: An Alternative View," </w:t>
      </w:r>
      <w:r>
        <w:rPr>
          <w:i/>
          <w:iCs/>
        </w:rPr>
        <w:t>Levant</w:t>
      </w:r>
      <w:r>
        <w:t xml:space="preserve"> 28 (1996): 177–87.</w:t>
      </w:r>
    </w:p>
    <w:p w:rsidR="008E4B08" w:rsidRDefault="00C51EF0">
      <w:pPr>
        <w:spacing w:after="160"/>
        <w:ind w:firstLine="720"/>
      </w:pPr>
      <w:r>
        <w:t xml:space="preserve">56. Finkelstein and Silberman, </w:t>
      </w:r>
      <w:r>
        <w:rPr>
          <w:i/>
          <w:iCs/>
        </w:rPr>
        <w:t>The Bible Unearthed</w:t>
      </w:r>
      <w:r>
        <w:t xml:space="preserve">; Israel Finkelstein and Neil Asher Silberman, </w:t>
      </w:r>
      <w:r>
        <w:rPr>
          <w:i/>
          <w:iCs/>
        </w:rPr>
        <w:t>David and Solomon: In Search of the Bible's Sacred Kings and the Roots of the Western Tradition</w:t>
      </w:r>
      <w:r>
        <w:t xml:space="preserve"> (New York: Free Press, 2006).</w:t>
      </w:r>
    </w:p>
    <w:p w:rsidR="008E4B08" w:rsidRDefault="00C51EF0">
      <w:pPr>
        <w:spacing w:after="160"/>
        <w:ind w:firstLine="720"/>
      </w:pPr>
      <w:r>
        <w:t xml:space="preserve">57. </w:t>
      </w:r>
      <w:proofErr w:type="spellStart"/>
      <w:r>
        <w:t>Amihai</w:t>
      </w:r>
      <w:proofErr w:type="spellEnd"/>
      <w:r>
        <w:t xml:space="preserve"> </w:t>
      </w:r>
      <w:proofErr w:type="spellStart"/>
      <w:r>
        <w:t>Mazar</w:t>
      </w:r>
      <w:proofErr w:type="spellEnd"/>
      <w:r>
        <w:t xml:space="preserve">, "Iron Age Chronology: A Reply to I. Finkelstein," </w:t>
      </w:r>
      <w:r>
        <w:rPr>
          <w:i/>
          <w:iCs/>
        </w:rPr>
        <w:t>Levant</w:t>
      </w:r>
      <w:r>
        <w:t xml:space="preserve"> 29 (1997): 157–67.</w:t>
      </w:r>
    </w:p>
    <w:p w:rsidR="008E4B08" w:rsidRDefault="00C51EF0">
      <w:pPr>
        <w:spacing w:after="160"/>
        <w:ind w:firstLine="720"/>
      </w:pPr>
      <w:r>
        <w:t xml:space="preserve">58. </w:t>
      </w:r>
      <w:proofErr w:type="spellStart"/>
      <w:r>
        <w:t>Eilat</w:t>
      </w:r>
      <w:proofErr w:type="spellEnd"/>
      <w:r>
        <w:t xml:space="preserve"> </w:t>
      </w:r>
      <w:proofErr w:type="spellStart"/>
      <w:r>
        <w:t>Mazar</w:t>
      </w:r>
      <w:proofErr w:type="spellEnd"/>
      <w:r>
        <w:t xml:space="preserve">, "Did I Find King David's Palace?" </w:t>
      </w:r>
      <w:r>
        <w:rPr>
          <w:i/>
          <w:iCs/>
        </w:rPr>
        <w:t>Biblical Archaeology Review</w:t>
      </w:r>
      <w:r>
        <w:t xml:space="preserve"> 32, no. 1 (2006): 16–27, 70.</w:t>
      </w:r>
    </w:p>
    <w:p w:rsidR="008E4B08" w:rsidRDefault="00C51EF0">
      <w:pPr>
        <w:spacing w:after="160"/>
        <w:ind w:firstLine="720"/>
      </w:pPr>
      <w:r>
        <w:t xml:space="preserve">59. Avraham Faust, "The Large Stone Structure in the City of David: A Reexamination," </w:t>
      </w:r>
      <w:proofErr w:type="spellStart"/>
      <w:r>
        <w:rPr>
          <w:i/>
          <w:iCs/>
        </w:rPr>
        <w:t>Zeitschrift</w:t>
      </w:r>
      <w:proofErr w:type="spellEnd"/>
      <w:r>
        <w:rPr>
          <w:i/>
          <w:iCs/>
        </w:rPr>
        <w:t xml:space="preserve"> des </w:t>
      </w:r>
      <w:proofErr w:type="spellStart"/>
      <w:r>
        <w:rPr>
          <w:i/>
          <w:iCs/>
        </w:rPr>
        <w:t>Deutschen</w:t>
      </w:r>
      <w:proofErr w:type="spellEnd"/>
      <w:r>
        <w:rPr>
          <w:i/>
          <w:iCs/>
        </w:rPr>
        <w:t xml:space="preserve"> </w:t>
      </w:r>
      <w:proofErr w:type="spellStart"/>
      <w:r>
        <w:rPr>
          <w:i/>
          <w:iCs/>
        </w:rPr>
        <w:t>Palästina-Vereins</w:t>
      </w:r>
      <w:proofErr w:type="spellEnd"/>
      <w:r>
        <w:t xml:space="preserve"> 126 (2010): 116–30.</w:t>
      </w:r>
    </w:p>
    <w:p w:rsidR="008E4B08" w:rsidRDefault="00C51EF0">
      <w:pPr>
        <w:spacing w:after="160"/>
        <w:ind w:firstLine="720"/>
      </w:pPr>
      <w:r>
        <w:t xml:space="preserve">60. Yosef </w:t>
      </w:r>
      <w:proofErr w:type="spellStart"/>
      <w:r>
        <w:t>Garfinkel</w:t>
      </w:r>
      <w:proofErr w:type="spellEnd"/>
      <w:r>
        <w:t xml:space="preserve"> and Saar </w:t>
      </w:r>
      <w:proofErr w:type="spellStart"/>
      <w:r>
        <w:t>Ganor</w:t>
      </w:r>
      <w:proofErr w:type="spellEnd"/>
      <w:r>
        <w:t xml:space="preserve">, </w:t>
      </w:r>
      <w:r>
        <w:rPr>
          <w:i/>
          <w:iCs/>
        </w:rPr>
        <w:t xml:space="preserve">Khirbet </w:t>
      </w:r>
      <w:proofErr w:type="spellStart"/>
      <w:r>
        <w:rPr>
          <w:i/>
          <w:iCs/>
        </w:rPr>
        <w:t>Qeiyafa</w:t>
      </w:r>
      <w:proofErr w:type="spellEnd"/>
      <w:r>
        <w:t xml:space="preserve">, vol. 1, </w:t>
      </w:r>
      <w:r>
        <w:rPr>
          <w:i/>
          <w:iCs/>
        </w:rPr>
        <w:t>Excavation Report 2007–2008</w:t>
      </w:r>
      <w:r>
        <w:t xml:space="preserve"> (Jerusalem: Israel Exploration Society, 2009).</w:t>
      </w:r>
    </w:p>
    <w:p w:rsidR="008E4B08" w:rsidRDefault="00C51EF0">
      <w:pPr>
        <w:spacing w:after="160"/>
        <w:ind w:firstLine="720"/>
      </w:pPr>
      <w:r>
        <w:t xml:space="preserve">61. Yosef </w:t>
      </w:r>
      <w:proofErr w:type="spellStart"/>
      <w:r>
        <w:t>Garfinkel</w:t>
      </w:r>
      <w:proofErr w:type="spellEnd"/>
      <w:r>
        <w:t xml:space="preserve">, Igor </w:t>
      </w:r>
      <w:proofErr w:type="spellStart"/>
      <w:r>
        <w:t>Kreimerman</w:t>
      </w:r>
      <w:proofErr w:type="spellEnd"/>
      <w:r>
        <w:t xml:space="preserve">, and Peter </w:t>
      </w:r>
      <w:proofErr w:type="spellStart"/>
      <w:r>
        <w:t>Zilberg</w:t>
      </w:r>
      <w:proofErr w:type="spellEnd"/>
      <w:r>
        <w:t xml:space="preserve">, </w:t>
      </w:r>
      <w:r>
        <w:rPr>
          <w:i/>
          <w:iCs/>
        </w:rPr>
        <w:t xml:space="preserve">Debating Khirbet </w:t>
      </w:r>
      <w:proofErr w:type="spellStart"/>
      <w:r>
        <w:rPr>
          <w:i/>
          <w:iCs/>
        </w:rPr>
        <w:t>Qeiyafa</w:t>
      </w:r>
      <w:proofErr w:type="spellEnd"/>
      <w:r>
        <w:rPr>
          <w:i/>
          <w:iCs/>
        </w:rPr>
        <w:t>: A Fortified City in Judah from the Time of King David</w:t>
      </w:r>
      <w:r>
        <w:t xml:space="preserve"> (Jerusalem: Israel Exploration Society, 2016).</w:t>
      </w:r>
    </w:p>
    <w:p w:rsidR="008E4B08" w:rsidRDefault="00C51EF0">
      <w:pPr>
        <w:spacing w:after="160"/>
        <w:ind w:firstLine="720"/>
      </w:pPr>
      <w:r>
        <w:t xml:space="preserve">62. </w:t>
      </w:r>
      <w:proofErr w:type="spellStart"/>
      <w:r>
        <w:t>Erez</w:t>
      </w:r>
      <w:proofErr w:type="spellEnd"/>
      <w:r>
        <w:t xml:space="preserve"> Ben-Yosef, "The Architectural Bias in Current Biblical Archaeology," </w:t>
      </w:r>
      <w:proofErr w:type="spellStart"/>
      <w:r>
        <w:rPr>
          <w:i/>
          <w:iCs/>
        </w:rPr>
        <w:t>Vetus</w:t>
      </w:r>
      <w:proofErr w:type="spellEnd"/>
      <w:r>
        <w:rPr>
          <w:i/>
          <w:iCs/>
        </w:rPr>
        <w:t xml:space="preserve"> </w:t>
      </w:r>
      <w:proofErr w:type="spellStart"/>
      <w:r>
        <w:rPr>
          <w:i/>
          <w:iCs/>
        </w:rPr>
        <w:t>Testamentum</w:t>
      </w:r>
      <w:proofErr w:type="spellEnd"/>
      <w:r>
        <w:t xml:space="preserve"> 69 (2019): 361–87.</w:t>
      </w:r>
    </w:p>
    <w:p w:rsidR="008E4B08" w:rsidRDefault="00C51EF0">
      <w:pPr>
        <w:spacing w:after="160"/>
        <w:ind w:firstLine="720"/>
      </w:pPr>
      <w:r>
        <w:t xml:space="preserve">63. John Monson, "The New 'Ain Dara Temple: Closest </w:t>
      </w:r>
      <w:proofErr w:type="spellStart"/>
      <w:r>
        <w:t>Solomonic</w:t>
      </w:r>
      <w:proofErr w:type="spellEnd"/>
      <w:r>
        <w:t xml:space="preserve"> Parallel," </w:t>
      </w:r>
      <w:r>
        <w:rPr>
          <w:i/>
          <w:iCs/>
        </w:rPr>
        <w:t>Biblical Archaeology Review</w:t>
      </w:r>
      <w:r>
        <w:t xml:space="preserve"> 26, no. 3 (2000): 20–35, 67.</w:t>
      </w:r>
    </w:p>
    <w:p w:rsidR="008E4B08" w:rsidRDefault="00C51EF0">
      <w:pPr>
        <w:pStyle w:val="Heading2"/>
        <w:keepNext/>
        <w:spacing w:before="240" w:after="120" w:line="300" w:lineRule="auto"/>
      </w:pPr>
      <w:bookmarkStart w:id="205" w:name="_Toc241908566"/>
      <w:r>
        <w:t>Unit Nine: The Divided Kingdom, the Exile and the Return</w:t>
      </w:r>
      <w:bookmarkEnd w:id="205"/>
    </w:p>
    <w:p w:rsidR="008E4B08" w:rsidRDefault="00C51EF0">
      <w:pPr>
        <w:spacing w:after="160"/>
        <w:ind w:firstLine="720"/>
      </w:pPr>
      <w:r>
        <w:t xml:space="preserve">64. J. Andrew Dearman, ed., </w:t>
      </w:r>
      <w:r>
        <w:rPr>
          <w:i/>
          <w:iCs/>
        </w:rPr>
        <w:t xml:space="preserve">Studies in the </w:t>
      </w:r>
      <w:proofErr w:type="spellStart"/>
      <w:r>
        <w:rPr>
          <w:i/>
          <w:iCs/>
        </w:rPr>
        <w:t>Mesha</w:t>
      </w:r>
      <w:proofErr w:type="spellEnd"/>
      <w:r>
        <w:rPr>
          <w:i/>
          <w:iCs/>
        </w:rPr>
        <w:t xml:space="preserve"> Inscription and Moab</w:t>
      </w:r>
      <w:r>
        <w:t xml:space="preserve"> (Atlanta: Scholars Press, 1989).</w:t>
      </w:r>
    </w:p>
    <w:p w:rsidR="008E4B08" w:rsidRDefault="00C51EF0">
      <w:pPr>
        <w:spacing w:after="160"/>
        <w:ind w:firstLine="720"/>
      </w:pPr>
      <w:r>
        <w:t xml:space="preserve">65. Pritchard, </w:t>
      </w:r>
      <w:r>
        <w:rPr>
          <w:i/>
          <w:iCs/>
        </w:rPr>
        <w:t>Ancient Near Eastern Texts</w:t>
      </w:r>
      <w:r>
        <w:t>, 281.</w:t>
      </w:r>
    </w:p>
    <w:p w:rsidR="008E4B08" w:rsidRDefault="00C51EF0">
      <w:pPr>
        <w:spacing w:after="160"/>
        <w:ind w:firstLine="720"/>
      </w:pPr>
      <w:r>
        <w:t xml:space="preserve">66. Amos </w:t>
      </w:r>
      <w:proofErr w:type="spellStart"/>
      <w:r>
        <w:t>Frumkin</w:t>
      </w:r>
      <w:proofErr w:type="spellEnd"/>
      <w:r>
        <w:t xml:space="preserve">, </w:t>
      </w:r>
      <w:proofErr w:type="spellStart"/>
      <w:r>
        <w:t>Aryeh</w:t>
      </w:r>
      <w:proofErr w:type="spellEnd"/>
      <w:r>
        <w:t xml:space="preserve"> </w:t>
      </w:r>
      <w:proofErr w:type="spellStart"/>
      <w:r>
        <w:t>Shimron</w:t>
      </w:r>
      <w:proofErr w:type="spellEnd"/>
      <w:r>
        <w:t xml:space="preserve">, and Jeff Rosenbaum, "Radiometric Dating of the Siloam Tunnel, Jerusalem," </w:t>
      </w:r>
      <w:r>
        <w:rPr>
          <w:i/>
          <w:iCs/>
        </w:rPr>
        <w:t>Nature</w:t>
      </w:r>
      <w:r>
        <w:t xml:space="preserve"> 425 (2003): 169–71.</w:t>
      </w:r>
    </w:p>
    <w:p w:rsidR="008E4B08" w:rsidRDefault="00C51EF0">
      <w:pPr>
        <w:spacing w:after="160"/>
        <w:ind w:firstLine="720"/>
      </w:pPr>
      <w:r>
        <w:lastRenderedPageBreak/>
        <w:t xml:space="preserve">67. Pritchard, </w:t>
      </w:r>
      <w:r>
        <w:rPr>
          <w:i/>
          <w:iCs/>
        </w:rPr>
        <w:t>Ancient Near Eastern Texts</w:t>
      </w:r>
      <w:r>
        <w:t>, 287–88.</w:t>
      </w:r>
    </w:p>
    <w:p w:rsidR="008E4B08" w:rsidRDefault="00C51EF0">
      <w:pPr>
        <w:spacing w:after="160"/>
        <w:ind w:firstLine="720"/>
      </w:pPr>
      <w:r>
        <w:t xml:space="preserve">68. David </w:t>
      </w:r>
      <w:proofErr w:type="spellStart"/>
      <w:r>
        <w:t>Ussishkin</w:t>
      </w:r>
      <w:proofErr w:type="spellEnd"/>
      <w:r>
        <w:t xml:space="preserve">, </w:t>
      </w:r>
      <w:proofErr w:type="gramStart"/>
      <w:r>
        <w:rPr>
          <w:i/>
          <w:iCs/>
        </w:rPr>
        <w:t>The</w:t>
      </w:r>
      <w:proofErr w:type="gramEnd"/>
      <w:r>
        <w:rPr>
          <w:i/>
          <w:iCs/>
        </w:rPr>
        <w:t xml:space="preserve"> Conquest of Lachish by Sennacherib</w:t>
      </w:r>
      <w:r>
        <w:t xml:space="preserve"> (Tel Aviv: Tel Aviv University, Institute of Archaeology, 1982).</w:t>
      </w:r>
    </w:p>
    <w:p w:rsidR="008E4B08" w:rsidRDefault="00C51EF0">
      <w:pPr>
        <w:spacing w:after="160"/>
        <w:ind w:firstLine="720"/>
      </w:pPr>
      <w:r>
        <w:t xml:space="preserve">69. Gabriel </w:t>
      </w:r>
      <w:proofErr w:type="spellStart"/>
      <w:r>
        <w:t>Barkay</w:t>
      </w:r>
      <w:proofErr w:type="spellEnd"/>
      <w:r>
        <w:t xml:space="preserve"> et al., "The Amulets from </w:t>
      </w:r>
      <w:proofErr w:type="spellStart"/>
      <w:r>
        <w:t>Ketef</w:t>
      </w:r>
      <w:proofErr w:type="spellEnd"/>
      <w:r>
        <w:t xml:space="preserve"> </w:t>
      </w:r>
      <w:proofErr w:type="spellStart"/>
      <w:r>
        <w:t>Hinnom</w:t>
      </w:r>
      <w:proofErr w:type="spellEnd"/>
      <w:r>
        <w:t xml:space="preserve">: A New Edition and Evaluation," </w:t>
      </w:r>
      <w:r>
        <w:rPr>
          <w:i/>
          <w:iCs/>
        </w:rPr>
        <w:t>Bulletin of the American Schools of Oriental Research</w:t>
      </w:r>
      <w:r>
        <w:t xml:space="preserve"> 334 (2004): 41–71.</w:t>
      </w:r>
    </w:p>
    <w:p w:rsidR="008E4B08" w:rsidRDefault="00C51EF0">
      <w:pPr>
        <w:spacing w:after="160"/>
        <w:ind w:firstLine="720"/>
      </w:pPr>
      <w:r>
        <w:t xml:space="preserve">70. Pritchard, </w:t>
      </w:r>
      <w:r>
        <w:rPr>
          <w:i/>
          <w:iCs/>
        </w:rPr>
        <w:t>Ancient Near Eastern Texts</w:t>
      </w:r>
      <w:r>
        <w:t>, 321–22.</w:t>
      </w:r>
    </w:p>
    <w:p w:rsidR="008E4B08" w:rsidRDefault="00C51EF0">
      <w:pPr>
        <w:spacing w:after="160"/>
        <w:ind w:firstLine="720"/>
      </w:pPr>
      <w:r>
        <w:t xml:space="preserve">71. A. K. Grayson, </w:t>
      </w:r>
      <w:r>
        <w:rPr>
          <w:i/>
          <w:iCs/>
        </w:rPr>
        <w:t>Assyrian and Babylonian Chronicles</w:t>
      </w:r>
      <w:r>
        <w:t xml:space="preserve"> (Locust Valley, NY: J. J. Augustin, 1975).</w:t>
      </w:r>
    </w:p>
    <w:p w:rsidR="008E4B08" w:rsidRDefault="00C51EF0">
      <w:pPr>
        <w:spacing w:after="160"/>
        <w:ind w:firstLine="720"/>
      </w:pPr>
      <w:r>
        <w:t xml:space="preserve">72. Laurie E. Pearce and Cornelia </w:t>
      </w:r>
      <w:proofErr w:type="spellStart"/>
      <w:r>
        <w:t>Wunsch</w:t>
      </w:r>
      <w:proofErr w:type="spellEnd"/>
      <w:r>
        <w:t xml:space="preserve">, </w:t>
      </w:r>
      <w:r>
        <w:rPr>
          <w:i/>
          <w:iCs/>
        </w:rPr>
        <w:t xml:space="preserve">Documents of Judean Exiles and West Semites in Babylonia in the Collection of David </w:t>
      </w:r>
      <w:proofErr w:type="spellStart"/>
      <w:r>
        <w:rPr>
          <w:i/>
          <w:iCs/>
        </w:rPr>
        <w:t>Sofer</w:t>
      </w:r>
      <w:proofErr w:type="spellEnd"/>
      <w:r>
        <w:t xml:space="preserve"> (Bethesda, MD: CDL Press, 2014).</w:t>
      </w:r>
    </w:p>
    <w:p w:rsidR="008E4B08" w:rsidRDefault="00C51EF0">
      <w:pPr>
        <w:spacing w:after="160"/>
        <w:ind w:firstLine="720"/>
      </w:pPr>
      <w:r>
        <w:t xml:space="preserve">73. Irving </w:t>
      </w:r>
      <w:proofErr w:type="spellStart"/>
      <w:r>
        <w:t>Finkel</w:t>
      </w:r>
      <w:proofErr w:type="spellEnd"/>
      <w:r>
        <w:t xml:space="preserve">, ed., </w:t>
      </w:r>
      <w:proofErr w:type="gramStart"/>
      <w:r>
        <w:rPr>
          <w:i/>
          <w:iCs/>
        </w:rPr>
        <w:t>The</w:t>
      </w:r>
      <w:proofErr w:type="gramEnd"/>
      <w:r>
        <w:rPr>
          <w:i/>
          <w:iCs/>
        </w:rPr>
        <w:t xml:space="preserve"> Cyrus Cylinder: The King of Persia's Proclamation from Ancient Babylon</w:t>
      </w:r>
      <w:r>
        <w:t xml:space="preserve"> (London: I. B. Tauris, 2013).</w:t>
      </w:r>
    </w:p>
    <w:p w:rsidR="008E4B08" w:rsidRDefault="00C51EF0">
      <w:pPr>
        <w:spacing w:after="160"/>
        <w:ind w:firstLine="720"/>
      </w:pPr>
      <w:r>
        <w:t xml:space="preserve">74. Bezalel </w:t>
      </w:r>
      <w:proofErr w:type="spellStart"/>
      <w:r>
        <w:t>Porten</w:t>
      </w:r>
      <w:proofErr w:type="spellEnd"/>
      <w:r>
        <w:t xml:space="preserve">, </w:t>
      </w:r>
      <w:r>
        <w:rPr>
          <w:i/>
          <w:iCs/>
        </w:rPr>
        <w:t>Archives from Elephantine: The Life of an Ancient Jewish Military Colony</w:t>
      </w:r>
      <w:r>
        <w:t xml:space="preserve"> (Berkeley: University of California Press, 1968).</w:t>
      </w:r>
    </w:p>
    <w:p w:rsidR="008E4B08" w:rsidRDefault="00C51EF0">
      <w:pPr>
        <w:pStyle w:val="Heading2"/>
        <w:keepNext/>
        <w:spacing w:before="240" w:after="120" w:line="300" w:lineRule="auto"/>
      </w:pPr>
      <w:bookmarkStart w:id="206" w:name="_Toc241908567"/>
      <w:r>
        <w:t>Unit Ten: The Dead Sea Scrolls and the World of Second Temple Judaism</w:t>
      </w:r>
      <w:bookmarkEnd w:id="206"/>
    </w:p>
    <w:p w:rsidR="008E4B08" w:rsidRDefault="00C51EF0">
      <w:pPr>
        <w:spacing w:after="160"/>
        <w:ind w:firstLine="720"/>
      </w:pPr>
      <w:r>
        <w:t xml:space="preserve">75. James C. </w:t>
      </w:r>
      <w:proofErr w:type="spellStart"/>
      <w:r>
        <w:t>VanderKam</w:t>
      </w:r>
      <w:proofErr w:type="spellEnd"/>
      <w:r>
        <w:t xml:space="preserve">, </w:t>
      </w:r>
      <w:proofErr w:type="gramStart"/>
      <w:r>
        <w:rPr>
          <w:i/>
          <w:iCs/>
        </w:rPr>
        <w:t>The</w:t>
      </w:r>
      <w:proofErr w:type="gramEnd"/>
      <w:r>
        <w:rPr>
          <w:i/>
          <w:iCs/>
        </w:rPr>
        <w:t xml:space="preserve"> Dead Sea Scrolls Today</w:t>
      </w:r>
      <w:r>
        <w:t>, 2nd ed. (Grand Rapids: Eerdmans, 2010).</w:t>
      </w:r>
    </w:p>
    <w:p w:rsidR="008E4B08" w:rsidRDefault="00C51EF0">
      <w:pPr>
        <w:spacing w:after="160"/>
        <w:ind w:firstLine="720"/>
      </w:pPr>
      <w:r>
        <w:t xml:space="preserve">76. Jodi </w:t>
      </w:r>
      <w:proofErr w:type="spellStart"/>
      <w:r>
        <w:t>Magness</w:t>
      </w:r>
      <w:proofErr w:type="spellEnd"/>
      <w:r>
        <w:t xml:space="preserve">, </w:t>
      </w:r>
      <w:proofErr w:type="gramStart"/>
      <w:r>
        <w:rPr>
          <w:i/>
          <w:iCs/>
        </w:rPr>
        <w:t>The</w:t>
      </w:r>
      <w:proofErr w:type="gramEnd"/>
      <w:r>
        <w:rPr>
          <w:i/>
          <w:iCs/>
        </w:rPr>
        <w:t xml:space="preserve"> Archaeology of Qumran and the Dead Sea Scrolls</w:t>
      </w:r>
      <w:r>
        <w:t>, 2nd ed. (Grand Rapids: Eerdmans, 2021).</w:t>
      </w:r>
    </w:p>
    <w:p w:rsidR="008E4B08" w:rsidRDefault="00C51EF0">
      <w:pPr>
        <w:spacing w:after="160"/>
        <w:ind w:firstLine="720"/>
      </w:pPr>
      <w:r>
        <w:t xml:space="preserve">77. Emanuel Tov, </w:t>
      </w:r>
      <w:r>
        <w:rPr>
          <w:i/>
          <w:iCs/>
        </w:rPr>
        <w:t>Textual Criticism of the Hebrew Bible</w:t>
      </w:r>
      <w:r>
        <w:t>, 3rd ed. (Minneapolis: Fortress, 2012).</w:t>
      </w:r>
    </w:p>
    <w:p w:rsidR="008E4B08" w:rsidRDefault="00C51EF0">
      <w:pPr>
        <w:pStyle w:val="Heading2"/>
        <w:keepNext/>
        <w:spacing w:before="240" w:after="120" w:line="300" w:lineRule="auto"/>
      </w:pPr>
      <w:bookmarkStart w:id="207" w:name="_Toc241908568"/>
      <w:r>
        <w:t>Unit Eleven: Archaeology and the Gospels</w:t>
      </w:r>
      <w:bookmarkEnd w:id="207"/>
    </w:p>
    <w:p w:rsidR="008E4B08" w:rsidRDefault="00C51EF0">
      <w:pPr>
        <w:spacing w:after="160"/>
        <w:ind w:firstLine="720"/>
      </w:pPr>
      <w:r>
        <w:t xml:space="preserve">78. James H. </w:t>
      </w:r>
      <w:proofErr w:type="spellStart"/>
      <w:r>
        <w:t>Charlesworth</w:t>
      </w:r>
      <w:proofErr w:type="spellEnd"/>
      <w:r>
        <w:t xml:space="preserve">, ed., </w:t>
      </w:r>
      <w:r>
        <w:rPr>
          <w:i/>
          <w:iCs/>
        </w:rPr>
        <w:t>Jesus and Archaeology</w:t>
      </w:r>
      <w:r>
        <w:t xml:space="preserve"> (Grand Rapids: Eerdmans, 2006).</w:t>
      </w:r>
    </w:p>
    <w:p w:rsidR="008E4B08" w:rsidRDefault="00C51EF0">
      <w:pPr>
        <w:spacing w:after="160"/>
        <w:ind w:firstLine="720"/>
      </w:pPr>
      <w:r>
        <w:t xml:space="preserve">79. Jonathan L. Reed, </w:t>
      </w:r>
      <w:r>
        <w:rPr>
          <w:i/>
          <w:iCs/>
        </w:rPr>
        <w:t>Archaeology and the Galilean Jesus: A Re-examination of the Evidence</w:t>
      </w:r>
      <w:r>
        <w:t xml:space="preserve"> (Harrisburg, PA: Trinity Press International, 2000).</w:t>
      </w:r>
    </w:p>
    <w:p w:rsidR="008E4B08" w:rsidRDefault="00C51EF0">
      <w:pPr>
        <w:spacing w:after="160"/>
        <w:ind w:firstLine="720"/>
      </w:pPr>
      <w:r>
        <w:t xml:space="preserve">80. Ken Dark, </w:t>
      </w:r>
      <w:r>
        <w:rPr>
          <w:i/>
          <w:iCs/>
        </w:rPr>
        <w:t>Roman-Period and Byzantine Nazareth and Its Hinterland</w:t>
      </w:r>
      <w:r>
        <w:t xml:space="preserve"> (London: Routledge, 2020).</w:t>
      </w:r>
    </w:p>
    <w:p w:rsidR="008E4B08" w:rsidRDefault="00C51EF0">
      <w:pPr>
        <w:spacing w:after="160"/>
        <w:ind w:firstLine="720"/>
      </w:pPr>
      <w:r>
        <w:t xml:space="preserve">81. James F. Strange and Hershel Shanks, "Has the House Where Jesus Stayed in Capernaum Been Found?" </w:t>
      </w:r>
      <w:r>
        <w:rPr>
          <w:i/>
          <w:iCs/>
        </w:rPr>
        <w:t>Biblical Archaeology Review</w:t>
      </w:r>
      <w:r>
        <w:t xml:space="preserve"> 8, no. 6 (1982): 26–37.</w:t>
      </w:r>
    </w:p>
    <w:p w:rsidR="008E4B08" w:rsidRDefault="00C51EF0">
      <w:pPr>
        <w:spacing w:after="160"/>
        <w:ind w:firstLine="720"/>
      </w:pPr>
      <w:r>
        <w:t xml:space="preserve">82. Mordechai </w:t>
      </w:r>
      <w:proofErr w:type="spellStart"/>
      <w:r>
        <w:t>Aviam</w:t>
      </w:r>
      <w:proofErr w:type="spellEnd"/>
      <w:r>
        <w:t xml:space="preserve">, "The Decorated Stone from the Synagogue at </w:t>
      </w:r>
      <w:proofErr w:type="spellStart"/>
      <w:r>
        <w:t>Migdal</w:t>
      </w:r>
      <w:proofErr w:type="spellEnd"/>
      <w:r>
        <w:t xml:space="preserve">: A Holistic Interpretation and a Glimpse into the Life of Galilean Jews at the Time of Jesus," </w:t>
      </w:r>
      <w:proofErr w:type="spellStart"/>
      <w:r>
        <w:rPr>
          <w:i/>
          <w:iCs/>
        </w:rPr>
        <w:t>Novum</w:t>
      </w:r>
      <w:proofErr w:type="spellEnd"/>
      <w:r>
        <w:rPr>
          <w:i/>
          <w:iCs/>
        </w:rPr>
        <w:t xml:space="preserve"> </w:t>
      </w:r>
      <w:proofErr w:type="spellStart"/>
      <w:r>
        <w:rPr>
          <w:i/>
          <w:iCs/>
        </w:rPr>
        <w:t>Testamentum</w:t>
      </w:r>
      <w:proofErr w:type="spellEnd"/>
      <w:r>
        <w:t xml:space="preserve"> 55 (2013): 205–20.</w:t>
      </w:r>
    </w:p>
    <w:p w:rsidR="008E4B08" w:rsidRDefault="00C51EF0">
      <w:pPr>
        <w:spacing w:after="160"/>
        <w:ind w:firstLine="720"/>
      </w:pPr>
      <w:r>
        <w:t xml:space="preserve">83. Shelley </w:t>
      </w:r>
      <w:proofErr w:type="spellStart"/>
      <w:r>
        <w:t>Wachsmann</w:t>
      </w:r>
      <w:proofErr w:type="spellEnd"/>
      <w:r>
        <w:t xml:space="preserve">, </w:t>
      </w:r>
      <w:proofErr w:type="gramStart"/>
      <w:r>
        <w:rPr>
          <w:i/>
          <w:iCs/>
        </w:rPr>
        <w:t>The</w:t>
      </w:r>
      <w:proofErr w:type="gramEnd"/>
      <w:r>
        <w:rPr>
          <w:i/>
          <w:iCs/>
        </w:rPr>
        <w:t xml:space="preserve"> Sea of Galilee Boat: A 2000-Year-Old Discovery from the Sea of Legends</w:t>
      </w:r>
      <w:r>
        <w:t xml:space="preserve"> (New York: Plenum, 1995).</w:t>
      </w:r>
    </w:p>
    <w:p w:rsidR="008E4B08" w:rsidRDefault="00C51EF0">
      <w:pPr>
        <w:spacing w:after="160"/>
        <w:ind w:firstLine="720"/>
      </w:pPr>
      <w:r>
        <w:t xml:space="preserve">84. Joachim Jeremias, </w:t>
      </w:r>
      <w:proofErr w:type="gramStart"/>
      <w:r>
        <w:rPr>
          <w:i/>
          <w:iCs/>
        </w:rPr>
        <w:t>The</w:t>
      </w:r>
      <w:proofErr w:type="gramEnd"/>
      <w:r>
        <w:rPr>
          <w:i/>
          <w:iCs/>
        </w:rPr>
        <w:t xml:space="preserve"> Rediscovery of Bethesda: John 5:2</w:t>
      </w:r>
      <w:r>
        <w:t xml:space="preserve"> (Louisville: Southern Baptist Theological Seminary, 1966).</w:t>
      </w:r>
    </w:p>
    <w:p w:rsidR="008E4B08" w:rsidRDefault="00C51EF0">
      <w:pPr>
        <w:spacing w:after="160"/>
        <w:ind w:firstLine="720"/>
      </w:pPr>
      <w:r>
        <w:lastRenderedPageBreak/>
        <w:t xml:space="preserve">85. Helen K. Bond, </w:t>
      </w:r>
      <w:r>
        <w:rPr>
          <w:i/>
          <w:iCs/>
        </w:rPr>
        <w:t>Pontius Pilate in History and Interpretation</w:t>
      </w:r>
      <w:r>
        <w:t>, SNTSMS 100 (Cambridge: Cambridge University Press, 1998).</w:t>
      </w:r>
    </w:p>
    <w:p w:rsidR="008E4B08" w:rsidRDefault="00C51EF0">
      <w:pPr>
        <w:spacing w:after="160"/>
        <w:ind w:firstLine="720"/>
      </w:pPr>
      <w:r>
        <w:t xml:space="preserve">86. </w:t>
      </w:r>
      <w:proofErr w:type="spellStart"/>
      <w:r>
        <w:t>Zvi</w:t>
      </w:r>
      <w:proofErr w:type="spellEnd"/>
      <w:r>
        <w:t xml:space="preserve"> </w:t>
      </w:r>
      <w:proofErr w:type="spellStart"/>
      <w:r>
        <w:t>Greenhut</w:t>
      </w:r>
      <w:proofErr w:type="spellEnd"/>
      <w:r>
        <w:t xml:space="preserve">, "Burial Cave of the Caiaphas Family," </w:t>
      </w:r>
      <w:r>
        <w:rPr>
          <w:i/>
          <w:iCs/>
        </w:rPr>
        <w:t>Biblical Archaeology Review</w:t>
      </w:r>
      <w:r>
        <w:t xml:space="preserve"> 18, no. 5 (1992): 28–36, 76; Ronny Reich, "Caiaphas Name Inscribed on Bone Boxes," </w:t>
      </w:r>
      <w:r>
        <w:rPr>
          <w:i/>
          <w:iCs/>
        </w:rPr>
        <w:t>Biblical Archaeology Review</w:t>
      </w:r>
      <w:r>
        <w:t xml:space="preserve"> 18, no. 5 (1992): 38–44, 76.</w:t>
      </w:r>
    </w:p>
    <w:p w:rsidR="008E4B08" w:rsidRDefault="00C51EF0">
      <w:pPr>
        <w:spacing w:after="160"/>
        <w:ind w:firstLine="720"/>
      </w:pPr>
      <w:r>
        <w:t xml:space="preserve">87. </w:t>
      </w:r>
      <w:proofErr w:type="spellStart"/>
      <w:r>
        <w:t>Vassilios</w:t>
      </w:r>
      <w:proofErr w:type="spellEnd"/>
      <w:r>
        <w:t xml:space="preserve"> </w:t>
      </w:r>
      <w:proofErr w:type="spellStart"/>
      <w:r>
        <w:t>Tzaferis</w:t>
      </w:r>
      <w:proofErr w:type="spellEnd"/>
      <w:r>
        <w:t xml:space="preserve">, "Jewish Tombs at and near </w:t>
      </w:r>
      <w:proofErr w:type="spellStart"/>
      <w:r>
        <w:t>Giv'at</w:t>
      </w:r>
      <w:proofErr w:type="spellEnd"/>
      <w:r>
        <w:t xml:space="preserve"> ha-</w:t>
      </w:r>
      <w:proofErr w:type="spellStart"/>
      <w:r>
        <w:t>Mivtar</w:t>
      </w:r>
      <w:proofErr w:type="spellEnd"/>
      <w:r>
        <w:t xml:space="preserve">, Jerusalem," </w:t>
      </w:r>
      <w:r>
        <w:rPr>
          <w:i/>
          <w:iCs/>
        </w:rPr>
        <w:t>Israel Exploration Journal</w:t>
      </w:r>
      <w:r>
        <w:t xml:space="preserve"> 20 (1970): 18–32; Joseph </w:t>
      </w:r>
      <w:proofErr w:type="spellStart"/>
      <w:r>
        <w:t>Zias</w:t>
      </w:r>
      <w:proofErr w:type="spellEnd"/>
      <w:r>
        <w:t xml:space="preserve"> and Eliezer </w:t>
      </w:r>
      <w:proofErr w:type="spellStart"/>
      <w:r>
        <w:t>Sekeles</w:t>
      </w:r>
      <w:proofErr w:type="spellEnd"/>
      <w:r>
        <w:t xml:space="preserve">, "The Crucified Man from </w:t>
      </w:r>
      <w:proofErr w:type="spellStart"/>
      <w:r>
        <w:t>Giv'at</w:t>
      </w:r>
      <w:proofErr w:type="spellEnd"/>
      <w:r>
        <w:t xml:space="preserve"> ha-</w:t>
      </w:r>
      <w:proofErr w:type="spellStart"/>
      <w:r>
        <w:t>Mivtar</w:t>
      </w:r>
      <w:proofErr w:type="spellEnd"/>
      <w:r>
        <w:t xml:space="preserve">: A Reappraisal," </w:t>
      </w:r>
      <w:r>
        <w:rPr>
          <w:i/>
          <w:iCs/>
        </w:rPr>
        <w:t>Israel Exploration Journal</w:t>
      </w:r>
      <w:r>
        <w:t xml:space="preserve"> 35 (1985): 22–27.</w:t>
      </w:r>
    </w:p>
    <w:p w:rsidR="008E4B08" w:rsidRDefault="00C51EF0">
      <w:pPr>
        <w:spacing w:after="160"/>
        <w:ind w:firstLine="720"/>
      </w:pPr>
      <w:r>
        <w:t xml:space="preserve">88. Dan </w:t>
      </w:r>
      <w:proofErr w:type="spellStart"/>
      <w:r>
        <w:t>Bahat</w:t>
      </w:r>
      <w:proofErr w:type="spellEnd"/>
      <w:r>
        <w:t xml:space="preserve">, "Does the Holy </w:t>
      </w:r>
      <w:proofErr w:type="spellStart"/>
      <w:r>
        <w:t>Sepulchre</w:t>
      </w:r>
      <w:proofErr w:type="spellEnd"/>
      <w:r>
        <w:t xml:space="preserve"> Church Mark the Burial of Jesus?" </w:t>
      </w:r>
      <w:r>
        <w:rPr>
          <w:i/>
          <w:iCs/>
        </w:rPr>
        <w:t>Biblical Archaeology Review</w:t>
      </w:r>
      <w:r>
        <w:t xml:space="preserve"> 12, no. 3 (1986): 26–45.</w:t>
      </w:r>
    </w:p>
    <w:p w:rsidR="008E4B08" w:rsidRDefault="00C51EF0">
      <w:pPr>
        <w:pStyle w:val="Heading2"/>
        <w:keepNext/>
        <w:spacing w:before="240" w:after="120" w:line="300" w:lineRule="auto"/>
      </w:pPr>
      <w:bookmarkStart w:id="208" w:name="_Toc241908569"/>
      <w:r>
        <w:t>Unit Twelve: Archaeology, Acts and the Early Church</w:t>
      </w:r>
      <w:bookmarkEnd w:id="208"/>
    </w:p>
    <w:p w:rsidR="008E4B08" w:rsidRDefault="00C51EF0">
      <w:pPr>
        <w:spacing w:after="160"/>
        <w:ind w:firstLine="720"/>
      </w:pPr>
      <w:r>
        <w:t xml:space="preserve">89. W. M. Ramsay, </w:t>
      </w:r>
      <w:r>
        <w:rPr>
          <w:i/>
          <w:iCs/>
        </w:rPr>
        <w:t xml:space="preserve">St. Paul the </w:t>
      </w:r>
      <w:proofErr w:type="spellStart"/>
      <w:r>
        <w:rPr>
          <w:i/>
          <w:iCs/>
        </w:rPr>
        <w:t>Traveller</w:t>
      </w:r>
      <w:proofErr w:type="spellEnd"/>
      <w:r>
        <w:rPr>
          <w:i/>
          <w:iCs/>
        </w:rPr>
        <w:t xml:space="preserve"> and the Roman Citizen</w:t>
      </w:r>
      <w:r>
        <w:t xml:space="preserve"> (London: Hodder &amp; Stoughton, 1895).</w:t>
      </w:r>
    </w:p>
    <w:p w:rsidR="008E4B08" w:rsidRDefault="00C51EF0">
      <w:pPr>
        <w:spacing w:after="160"/>
        <w:ind w:firstLine="720"/>
      </w:pPr>
      <w:r>
        <w:t xml:space="preserve">90. Colin J. </w:t>
      </w:r>
      <w:proofErr w:type="spellStart"/>
      <w:r>
        <w:t>Hemer</w:t>
      </w:r>
      <w:proofErr w:type="spellEnd"/>
      <w:r>
        <w:t xml:space="preserve">, </w:t>
      </w:r>
      <w:proofErr w:type="gramStart"/>
      <w:r>
        <w:rPr>
          <w:i/>
          <w:iCs/>
        </w:rPr>
        <w:t>The</w:t>
      </w:r>
      <w:proofErr w:type="gramEnd"/>
      <w:r>
        <w:rPr>
          <w:i/>
          <w:iCs/>
        </w:rPr>
        <w:t xml:space="preserve"> Book of Acts in the Setting of Hellenistic History</w:t>
      </w:r>
      <w:r>
        <w:t xml:space="preserve">, ed. Conrad H. </w:t>
      </w:r>
      <w:proofErr w:type="spellStart"/>
      <w:r>
        <w:t>Gempf</w:t>
      </w:r>
      <w:proofErr w:type="spellEnd"/>
      <w:r>
        <w:t>, WUNT 49 (</w:t>
      </w:r>
      <w:proofErr w:type="spellStart"/>
      <w:r>
        <w:t>Tübingen</w:t>
      </w:r>
      <w:proofErr w:type="spellEnd"/>
      <w:r>
        <w:t xml:space="preserve">: Mohr </w:t>
      </w:r>
      <w:proofErr w:type="spellStart"/>
      <w:r>
        <w:t>Siebeck</w:t>
      </w:r>
      <w:proofErr w:type="spellEnd"/>
      <w:r>
        <w:t>, 1989).</w:t>
      </w:r>
    </w:p>
    <w:p w:rsidR="008E4B08" w:rsidRDefault="00C51EF0">
      <w:pPr>
        <w:spacing w:after="160"/>
        <w:ind w:firstLine="720"/>
      </w:pPr>
      <w:r>
        <w:t xml:space="preserve">91. G. H. R. Horsley, "The </w:t>
      </w:r>
      <w:proofErr w:type="spellStart"/>
      <w:r>
        <w:t>Politarchs</w:t>
      </w:r>
      <w:proofErr w:type="spellEnd"/>
      <w:r>
        <w:t xml:space="preserve">," in </w:t>
      </w:r>
      <w:r>
        <w:rPr>
          <w:i/>
          <w:iCs/>
        </w:rPr>
        <w:t xml:space="preserve">The Book of Acts in Its </w:t>
      </w:r>
      <w:proofErr w:type="spellStart"/>
      <w:r>
        <w:rPr>
          <w:i/>
          <w:iCs/>
        </w:rPr>
        <w:t>Graeco</w:t>
      </w:r>
      <w:proofErr w:type="spellEnd"/>
      <w:r>
        <w:rPr>
          <w:i/>
          <w:iCs/>
        </w:rPr>
        <w:t>-Roman Setting</w:t>
      </w:r>
      <w:r>
        <w:t xml:space="preserve">, ed. David W. J. Gill and Conrad </w:t>
      </w:r>
      <w:proofErr w:type="spellStart"/>
      <w:r>
        <w:t>Gempf</w:t>
      </w:r>
      <w:proofErr w:type="spellEnd"/>
      <w:r>
        <w:t xml:space="preserve"> (Grand Rapids: Eerdmans, 1994), 419–31.</w:t>
      </w:r>
    </w:p>
    <w:p w:rsidR="008E4B08" w:rsidRDefault="00C51EF0">
      <w:pPr>
        <w:spacing w:after="160"/>
        <w:ind w:firstLine="720"/>
      </w:pPr>
      <w:r>
        <w:t xml:space="preserve">92. Jerome Murphy-O'Connor, </w:t>
      </w:r>
      <w:r>
        <w:rPr>
          <w:i/>
          <w:iCs/>
        </w:rPr>
        <w:t>St. Paul's Corinth: Texts and Archaeology</w:t>
      </w:r>
      <w:r>
        <w:t>, 3rd ed. (Collegeville, MN: Liturgical Press, 2002).</w:t>
      </w:r>
    </w:p>
    <w:p w:rsidR="008E4B08" w:rsidRDefault="00C51EF0">
      <w:pPr>
        <w:spacing w:after="160"/>
        <w:ind w:firstLine="720"/>
      </w:pPr>
      <w:r>
        <w:t xml:space="preserve">93. David W. J. Gill, "Erastus the Aedile," </w:t>
      </w:r>
      <w:r>
        <w:rPr>
          <w:i/>
          <w:iCs/>
        </w:rPr>
        <w:t>Tyndale Bulletin</w:t>
      </w:r>
      <w:r>
        <w:t xml:space="preserve"> 40 (1989): 293–301.</w:t>
      </w:r>
    </w:p>
    <w:p w:rsidR="008E4B08" w:rsidRDefault="00C51EF0">
      <w:pPr>
        <w:spacing w:after="160"/>
        <w:ind w:firstLine="720"/>
      </w:pPr>
      <w:r>
        <w:t xml:space="preserve">94. Paul </w:t>
      </w:r>
      <w:proofErr w:type="spellStart"/>
      <w:r>
        <w:t>Trebilco</w:t>
      </w:r>
      <w:proofErr w:type="spellEnd"/>
      <w:r>
        <w:t xml:space="preserve">, </w:t>
      </w:r>
      <w:proofErr w:type="gramStart"/>
      <w:r>
        <w:rPr>
          <w:i/>
          <w:iCs/>
        </w:rPr>
        <w:t>The</w:t>
      </w:r>
      <w:proofErr w:type="gramEnd"/>
      <w:r>
        <w:rPr>
          <w:i/>
          <w:iCs/>
        </w:rPr>
        <w:t xml:space="preserve"> Early Christians in Ephesus from Paul to Ignatius</w:t>
      </w:r>
      <w:r>
        <w:t>, WUNT 166 (</w:t>
      </w:r>
      <w:proofErr w:type="spellStart"/>
      <w:r>
        <w:t>Tübingen</w:t>
      </w:r>
      <w:proofErr w:type="spellEnd"/>
      <w:r>
        <w:t xml:space="preserve">: Mohr </w:t>
      </w:r>
      <w:proofErr w:type="spellStart"/>
      <w:r>
        <w:t>Siebeck</w:t>
      </w:r>
      <w:proofErr w:type="spellEnd"/>
      <w:r>
        <w:t>, 2004).</w:t>
      </w:r>
    </w:p>
    <w:p w:rsidR="008E4B08" w:rsidRDefault="00C51EF0">
      <w:pPr>
        <w:spacing w:after="160"/>
        <w:ind w:firstLine="720"/>
      </w:pPr>
      <w:r>
        <w:t xml:space="preserve">95. Colin J. </w:t>
      </w:r>
      <w:proofErr w:type="spellStart"/>
      <w:r>
        <w:t>Hemer</w:t>
      </w:r>
      <w:proofErr w:type="spellEnd"/>
      <w:r>
        <w:t xml:space="preserve">, </w:t>
      </w:r>
      <w:proofErr w:type="gramStart"/>
      <w:r>
        <w:rPr>
          <w:i/>
          <w:iCs/>
        </w:rPr>
        <w:t>The</w:t>
      </w:r>
      <w:proofErr w:type="gramEnd"/>
      <w:r>
        <w:rPr>
          <w:i/>
          <w:iCs/>
        </w:rPr>
        <w:t xml:space="preserve"> Letters to the Seven Churches of Asia in Their Local Setting</w:t>
      </w:r>
      <w:r>
        <w:t xml:space="preserve">, </w:t>
      </w:r>
      <w:proofErr w:type="spellStart"/>
      <w:r>
        <w:t>JSNTSup</w:t>
      </w:r>
      <w:proofErr w:type="spellEnd"/>
      <w:r>
        <w:t xml:space="preserve"> 11 (Sheffield: JSOT Press, 1986).</w:t>
      </w:r>
    </w:p>
    <w:p w:rsidR="008E4B08" w:rsidRDefault="00C51EF0">
      <w:pPr>
        <w:pStyle w:val="Heading2"/>
        <w:keepNext/>
        <w:spacing w:before="240" w:after="120" w:line="300" w:lineRule="auto"/>
      </w:pPr>
      <w:bookmarkStart w:id="209" w:name="_Toc241908570"/>
      <w:r>
        <w:t>Unit Thirteen: Ethics, Forgeries and the Antiquities Trade</w:t>
      </w:r>
      <w:bookmarkEnd w:id="209"/>
    </w:p>
    <w:p w:rsidR="008E4B08" w:rsidRDefault="00C51EF0">
      <w:pPr>
        <w:spacing w:after="160"/>
        <w:ind w:firstLine="720"/>
      </w:pPr>
      <w:r>
        <w:t xml:space="preserve">96. André </w:t>
      </w:r>
      <w:proofErr w:type="spellStart"/>
      <w:r>
        <w:t>Lemaire</w:t>
      </w:r>
      <w:proofErr w:type="spellEnd"/>
      <w:r>
        <w:t xml:space="preserve">, "Burial Box of James the Brother of Jesus," </w:t>
      </w:r>
      <w:r>
        <w:rPr>
          <w:i/>
          <w:iCs/>
        </w:rPr>
        <w:t>Biblical Archaeology Review</w:t>
      </w:r>
      <w:r>
        <w:t xml:space="preserve"> 28, no. 6 (2002): 24–33, 70.</w:t>
      </w:r>
    </w:p>
    <w:p w:rsidR="008E4B08" w:rsidRDefault="00C51EF0">
      <w:pPr>
        <w:spacing w:after="160"/>
        <w:ind w:firstLine="720"/>
      </w:pPr>
      <w:r>
        <w:t xml:space="preserve">97. </w:t>
      </w:r>
      <w:proofErr w:type="spellStart"/>
      <w:r>
        <w:t>Kipp</w:t>
      </w:r>
      <w:proofErr w:type="spellEnd"/>
      <w:r>
        <w:t xml:space="preserve"> Davis et al., "Nine Dubious 'Dead Sea Scrolls' Fragments from the Twenty-First Century," </w:t>
      </w:r>
      <w:r>
        <w:rPr>
          <w:i/>
          <w:iCs/>
        </w:rPr>
        <w:t>Dead Sea Discoveries</w:t>
      </w:r>
      <w:r>
        <w:t xml:space="preserve"> 24 (2017): 189–228.</w:t>
      </w:r>
    </w:p>
    <w:p w:rsidR="008E4B08" w:rsidRDefault="00C51EF0">
      <w:pPr>
        <w:pStyle w:val="Heading2"/>
        <w:keepNext/>
        <w:spacing w:before="240" w:after="120" w:line="300" w:lineRule="auto"/>
      </w:pPr>
      <w:bookmarkStart w:id="210" w:name="_Toc241908571"/>
      <w:r>
        <w:t>Unit Fourteen: Africa, Archaeology and the Bible: Implications for the African Church</w:t>
      </w:r>
      <w:bookmarkEnd w:id="210"/>
    </w:p>
    <w:p w:rsidR="008E4B08" w:rsidRDefault="00C51EF0">
      <w:pPr>
        <w:spacing w:after="160"/>
        <w:ind w:firstLine="720"/>
      </w:pPr>
      <w:r>
        <w:t xml:space="preserve">98. Edwin M. Yamauchi, </w:t>
      </w:r>
      <w:r>
        <w:rPr>
          <w:i/>
          <w:iCs/>
        </w:rPr>
        <w:t>Africa and the Bible</w:t>
      </w:r>
      <w:r>
        <w:t xml:space="preserve"> (Grand Rapids: Baker Academic, 2004).</w:t>
      </w:r>
    </w:p>
    <w:p w:rsidR="008E4B08" w:rsidRDefault="00C51EF0">
      <w:pPr>
        <w:spacing w:after="160"/>
        <w:ind w:firstLine="720"/>
      </w:pPr>
      <w:r>
        <w:t xml:space="preserve">99. David Tuesday </w:t>
      </w:r>
      <w:proofErr w:type="spellStart"/>
      <w:r>
        <w:t>Adamo</w:t>
      </w:r>
      <w:proofErr w:type="spellEnd"/>
      <w:r>
        <w:t xml:space="preserve">, </w:t>
      </w:r>
      <w:r>
        <w:rPr>
          <w:i/>
          <w:iCs/>
        </w:rPr>
        <w:t>Africa and the Africans in the Old Testament</w:t>
      </w:r>
      <w:r>
        <w:t xml:space="preserve"> (San Francisco: Christian Universities Press, 1998).</w:t>
      </w:r>
    </w:p>
    <w:p w:rsidR="008E4B08" w:rsidRDefault="00C51EF0">
      <w:pPr>
        <w:spacing w:after="160"/>
        <w:ind w:firstLine="720"/>
      </w:pPr>
      <w:r>
        <w:t xml:space="preserve">100. Knut </w:t>
      </w:r>
      <w:proofErr w:type="spellStart"/>
      <w:r>
        <w:t>Holter</w:t>
      </w:r>
      <w:proofErr w:type="spellEnd"/>
      <w:r>
        <w:t xml:space="preserve">, </w:t>
      </w:r>
      <w:r>
        <w:rPr>
          <w:i/>
          <w:iCs/>
        </w:rPr>
        <w:t>Yahweh in Africa: Essays on Africa and the Old Testament</w:t>
      </w:r>
      <w:r>
        <w:t xml:space="preserve"> (New York: Peter Lang, 2000).</w:t>
      </w:r>
    </w:p>
    <w:p w:rsidR="008E4B08" w:rsidRDefault="00C51EF0">
      <w:pPr>
        <w:spacing w:after="160"/>
        <w:ind w:firstLine="720"/>
      </w:pPr>
      <w:r>
        <w:lastRenderedPageBreak/>
        <w:t xml:space="preserve">101. Jan </w:t>
      </w:r>
      <w:proofErr w:type="spellStart"/>
      <w:r>
        <w:t>Vansina</w:t>
      </w:r>
      <w:proofErr w:type="spellEnd"/>
      <w:r>
        <w:t xml:space="preserve">, </w:t>
      </w:r>
      <w:r>
        <w:rPr>
          <w:i/>
          <w:iCs/>
        </w:rPr>
        <w:t>Oral Tradition as History</w:t>
      </w:r>
      <w:r>
        <w:t xml:space="preserve"> (Madison: University of Wisconsin Press, 1985).</w:t>
      </w:r>
    </w:p>
    <w:p w:rsidR="008E4B08" w:rsidRDefault="00C51EF0">
      <w:pPr>
        <w:pStyle w:val="Heading1"/>
        <w:pageBreakBefore/>
        <w:spacing w:after="360" w:line="360" w:lineRule="auto"/>
        <w:jc w:val="center"/>
      </w:pPr>
      <w:bookmarkStart w:id="211" w:name="_Toc241908572"/>
      <w:r>
        <w:lastRenderedPageBreak/>
        <w:t>BIBLIOGRAPHY</w:t>
      </w:r>
      <w:bookmarkEnd w:id="211"/>
    </w:p>
    <w:p w:rsidR="008E4B08" w:rsidRDefault="00C51EF0">
      <w:pPr>
        <w:spacing w:after="200"/>
        <w:ind w:left="720" w:hanging="720"/>
      </w:pPr>
      <w:proofErr w:type="spellStart"/>
      <w:r>
        <w:t>Adamo</w:t>
      </w:r>
      <w:proofErr w:type="spellEnd"/>
      <w:r>
        <w:t xml:space="preserve">, David Tuesday. </w:t>
      </w:r>
      <w:r>
        <w:rPr>
          <w:i/>
          <w:iCs/>
        </w:rPr>
        <w:t>Africa and the Africans in the Old Testament</w:t>
      </w:r>
      <w:r>
        <w:t>. San Francisco: Christian Universities Press, 1998.</w:t>
      </w:r>
    </w:p>
    <w:p w:rsidR="008E4B08" w:rsidRDefault="00C51EF0">
      <w:pPr>
        <w:spacing w:after="200"/>
        <w:ind w:left="720" w:hanging="720"/>
      </w:pPr>
      <w:r>
        <w:t xml:space="preserve">Albright, William F. </w:t>
      </w:r>
      <w:r>
        <w:rPr>
          <w:i/>
          <w:iCs/>
        </w:rPr>
        <w:t>The Archaeology of Palestine</w:t>
      </w:r>
      <w:r>
        <w:t xml:space="preserve">. Rev. ed. </w:t>
      </w:r>
      <w:proofErr w:type="spellStart"/>
      <w:r>
        <w:t>Harmondsworth</w:t>
      </w:r>
      <w:proofErr w:type="spellEnd"/>
      <w:r>
        <w:t>: Penguin, 1960.</w:t>
      </w:r>
    </w:p>
    <w:p w:rsidR="008E4B08" w:rsidRDefault="00C51EF0">
      <w:pPr>
        <w:spacing w:after="200"/>
        <w:ind w:left="720" w:hanging="720"/>
      </w:pPr>
      <w:r>
        <w:t xml:space="preserve">———. </w:t>
      </w:r>
      <w:r>
        <w:rPr>
          <w:i/>
          <w:iCs/>
        </w:rPr>
        <w:t>From the Stone Age to Christianity: Monotheism and the Historical Process</w:t>
      </w:r>
      <w:r>
        <w:t>. Baltimore: Johns Hopkins Press, 1940.</w:t>
      </w:r>
    </w:p>
    <w:p w:rsidR="008E4B08" w:rsidRDefault="00C51EF0">
      <w:pPr>
        <w:spacing w:after="200"/>
        <w:ind w:left="720" w:hanging="720"/>
      </w:pPr>
      <w:proofErr w:type="spellStart"/>
      <w:r>
        <w:t>Aviam</w:t>
      </w:r>
      <w:proofErr w:type="spellEnd"/>
      <w:r>
        <w:t xml:space="preserve">, Mordechai. "The Decorated Stone from the Synagogue at </w:t>
      </w:r>
      <w:proofErr w:type="spellStart"/>
      <w:r>
        <w:t>Migdal</w:t>
      </w:r>
      <w:proofErr w:type="spellEnd"/>
      <w:r>
        <w:t xml:space="preserve">: A Holistic Interpretation and a Glimpse into the Life of Galilean Jews at the Time of Jesus." </w:t>
      </w:r>
      <w:proofErr w:type="spellStart"/>
      <w:r>
        <w:rPr>
          <w:i/>
          <w:iCs/>
        </w:rPr>
        <w:t>Novum</w:t>
      </w:r>
      <w:proofErr w:type="spellEnd"/>
      <w:r>
        <w:rPr>
          <w:i/>
          <w:iCs/>
        </w:rPr>
        <w:t xml:space="preserve"> </w:t>
      </w:r>
      <w:proofErr w:type="spellStart"/>
      <w:r>
        <w:rPr>
          <w:i/>
          <w:iCs/>
        </w:rPr>
        <w:t>Testamentum</w:t>
      </w:r>
      <w:proofErr w:type="spellEnd"/>
      <w:r>
        <w:t xml:space="preserve"> 55 (2013): 205–20.</w:t>
      </w:r>
    </w:p>
    <w:p w:rsidR="008E4B08" w:rsidRDefault="00C51EF0">
      <w:pPr>
        <w:spacing w:after="200"/>
        <w:ind w:left="720" w:hanging="720"/>
      </w:pPr>
      <w:proofErr w:type="spellStart"/>
      <w:r>
        <w:t>Bahat</w:t>
      </w:r>
      <w:proofErr w:type="spellEnd"/>
      <w:r>
        <w:t xml:space="preserve">, Dan. "Does the Holy </w:t>
      </w:r>
      <w:proofErr w:type="spellStart"/>
      <w:r>
        <w:t>Sepulchre</w:t>
      </w:r>
      <w:proofErr w:type="spellEnd"/>
      <w:r>
        <w:t xml:space="preserve"> Church Mark the Burial of Jesus?" </w:t>
      </w:r>
      <w:r>
        <w:rPr>
          <w:i/>
          <w:iCs/>
        </w:rPr>
        <w:t>Biblical Archaeology Review</w:t>
      </w:r>
      <w:r>
        <w:t xml:space="preserve"> 12, no. 3 (1986): 26–45.</w:t>
      </w:r>
    </w:p>
    <w:p w:rsidR="008E4B08" w:rsidRDefault="00C51EF0">
      <w:pPr>
        <w:spacing w:after="200"/>
        <w:ind w:left="720" w:hanging="720"/>
      </w:pPr>
      <w:proofErr w:type="spellStart"/>
      <w:r>
        <w:t>Barkay</w:t>
      </w:r>
      <w:proofErr w:type="spellEnd"/>
      <w:r>
        <w:t xml:space="preserve">, Gabriel, Marilyn J. Lundberg, Andrew G. Vaughn, and Bruce Zuckerman. "The Amulets from </w:t>
      </w:r>
      <w:proofErr w:type="spellStart"/>
      <w:r>
        <w:t>Ketef</w:t>
      </w:r>
      <w:proofErr w:type="spellEnd"/>
      <w:r>
        <w:t xml:space="preserve"> </w:t>
      </w:r>
      <w:proofErr w:type="spellStart"/>
      <w:r>
        <w:t>Hinnom</w:t>
      </w:r>
      <w:proofErr w:type="spellEnd"/>
      <w:r>
        <w:t xml:space="preserve">: A New Edition and Evaluation." </w:t>
      </w:r>
      <w:r>
        <w:rPr>
          <w:i/>
          <w:iCs/>
        </w:rPr>
        <w:t>Bulletin of the American Schools of Oriental Research</w:t>
      </w:r>
      <w:r>
        <w:t xml:space="preserve"> 334 (2004): 41–71.</w:t>
      </w:r>
    </w:p>
    <w:p w:rsidR="008E4B08" w:rsidRDefault="00C51EF0">
      <w:pPr>
        <w:spacing w:after="200"/>
        <w:ind w:left="720" w:hanging="720"/>
      </w:pPr>
      <w:r>
        <w:t xml:space="preserve">Ben-Tor, </w:t>
      </w:r>
      <w:proofErr w:type="spellStart"/>
      <w:r>
        <w:t>Amnon</w:t>
      </w:r>
      <w:proofErr w:type="spellEnd"/>
      <w:r>
        <w:t xml:space="preserve">, and Maria Teresa </w:t>
      </w:r>
      <w:proofErr w:type="spellStart"/>
      <w:r>
        <w:t>Rubiato</w:t>
      </w:r>
      <w:proofErr w:type="spellEnd"/>
      <w:r>
        <w:t xml:space="preserve">. "Excavating </w:t>
      </w:r>
      <w:proofErr w:type="spellStart"/>
      <w:r>
        <w:t>Hazor</w:t>
      </w:r>
      <w:proofErr w:type="spellEnd"/>
      <w:r>
        <w:t xml:space="preserve">, Part Two: Did the Israelites Destroy the Canaanite City?" </w:t>
      </w:r>
      <w:r>
        <w:rPr>
          <w:i/>
          <w:iCs/>
        </w:rPr>
        <w:t>Biblical Archaeology Review</w:t>
      </w:r>
      <w:r>
        <w:t xml:space="preserve"> 25, no. 3 (1999): 22–39.</w:t>
      </w:r>
    </w:p>
    <w:p w:rsidR="008E4B08" w:rsidRDefault="00C51EF0">
      <w:pPr>
        <w:spacing w:after="200"/>
        <w:ind w:left="720" w:hanging="720"/>
      </w:pPr>
      <w:r>
        <w:t xml:space="preserve">Ben-Yosef, </w:t>
      </w:r>
      <w:proofErr w:type="spellStart"/>
      <w:r>
        <w:t>Erez</w:t>
      </w:r>
      <w:proofErr w:type="spellEnd"/>
      <w:r>
        <w:t xml:space="preserve">. "The Architectural Bias in Current Biblical Archaeology." </w:t>
      </w:r>
      <w:proofErr w:type="spellStart"/>
      <w:r>
        <w:rPr>
          <w:i/>
          <w:iCs/>
        </w:rPr>
        <w:t>Vetus</w:t>
      </w:r>
      <w:proofErr w:type="spellEnd"/>
      <w:r>
        <w:rPr>
          <w:i/>
          <w:iCs/>
        </w:rPr>
        <w:t xml:space="preserve"> </w:t>
      </w:r>
      <w:proofErr w:type="spellStart"/>
      <w:r>
        <w:rPr>
          <w:i/>
          <w:iCs/>
        </w:rPr>
        <w:t>Testamentum</w:t>
      </w:r>
      <w:proofErr w:type="spellEnd"/>
      <w:r>
        <w:t xml:space="preserve"> 69 (2019): 361–87.</w:t>
      </w:r>
    </w:p>
    <w:p w:rsidR="008E4B08" w:rsidRDefault="00C51EF0">
      <w:pPr>
        <w:spacing w:after="200"/>
        <w:ind w:left="720" w:hanging="720"/>
      </w:pPr>
      <w:proofErr w:type="spellStart"/>
      <w:r>
        <w:t>Bimson</w:t>
      </w:r>
      <w:proofErr w:type="spellEnd"/>
      <w:r>
        <w:t xml:space="preserve">, John J. </w:t>
      </w:r>
      <w:proofErr w:type="spellStart"/>
      <w:r>
        <w:rPr>
          <w:i/>
          <w:iCs/>
        </w:rPr>
        <w:t>Redating</w:t>
      </w:r>
      <w:proofErr w:type="spellEnd"/>
      <w:r>
        <w:rPr>
          <w:i/>
          <w:iCs/>
        </w:rPr>
        <w:t xml:space="preserve"> the Exodus and Conquest</w:t>
      </w:r>
      <w:r>
        <w:t xml:space="preserve">. </w:t>
      </w:r>
      <w:proofErr w:type="spellStart"/>
      <w:r>
        <w:t>JSOTSup</w:t>
      </w:r>
      <w:proofErr w:type="spellEnd"/>
      <w:r>
        <w:t xml:space="preserve"> 5. Sheffield: JSOT Press, 1978.</w:t>
      </w:r>
    </w:p>
    <w:p w:rsidR="008E4B08" w:rsidRDefault="00C51EF0">
      <w:pPr>
        <w:spacing w:after="200"/>
        <w:ind w:left="720" w:hanging="720"/>
      </w:pPr>
      <w:proofErr w:type="spellStart"/>
      <w:r>
        <w:t>Biran</w:t>
      </w:r>
      <w:proofErr w:type="spellEnd"/>
      <w:r>
        <w:t xml:space="preserve">, Avraham, and Joseph </w:t>
      </w:r>
      <w:proofErr w:type="spellStart"/>
      <w:r>
        <w:t>Naveh</w:t>
      </w:r>
      <w:proofErr w:type="spellEnd"/>
      <w:r>
        <w:t xml:space="preserve">. "An Aramaic Stele Fragment from Tel Dan." </w:t>
      </w:r>
      <w:r>
        <w:rPr>
          <w:i/>
          <w:iCs/>
        </w:rPr>
        <w:t>Israel Exploration Journal</w:t>
      </w:r>
      <w:r>
        <w:t xml:space="preserve"> 43 (1993): 81–98.</w:t>
      </w:r>
    </w:p>
    <w:p w:rsidR="008E4B08" w:rsidRDefault="00C51EF0">
      <w:pPr>
        <w:spacing w:after="200"/>
        <w:ind w:left="720" w:hanging="720"/>
      </w:pPr>
      <w:r>
        <w:t xml:space="preserve">———. "The Tel Dan Inscription: A New Fragment." </w:t>
      </w:r>
      <w:r>
        <w:rPr>
          <w:i/>
          <w:iCs/>
        </w:rPr>
        <w:t>Israel Exploration Journal</w:t>
      </w:r>
      <w:r>
        <w:t xml:space="preserve"> 45 (1995): 1–18.</w:t>
      </w:r>
    </w:p>
    <w:p w:rsidR="008E4B08" w:rsidRDefault="00C51EF0">
      <w:pPr>
        <w:spacing w:after="200"/>
        <w:ind w:left="720" w:hanging="720"/>
      </w:pPr>
      <w:r>
        <w:t xml:space="preserve">Bond, Helen K. </w:t>
      </w:r>
      <w:r>
        <w:rPr>
          <w:i/>
          <w:iCs/>
        </w:rPr>
        <w:t>Pontius Pilate in History and Interpretation</w:t>
      </w:r>
      <w:r>
        <w:t>. SNTSMS 100. Cambridge: Cambridge University Press, 1998.</w:t>
      </w:r>
    </w:p>
    <w:p w:rsidR="008E4B08" w:rsidRDefault="00C51EF0">
      <w:pPr>
        <w:spacing w:after="200"/>
        <w:ind w:left="720" w:hanging="720"/>
      </w:pPr>
      <w:r>
        <w:t xml:space="preserve">Bright, John. </w:t>
      </w:r>
      <w:r>
        <w:rPr>
          <w:i/>
          <w:iCs/>
        </w:rPr>
        <w:t>A History of Israel</w:t>
      </w:r>
      <w:r>
        <w:t>. Philadelphia: Westminster, 1959.</w:t>
      </w:r>
    </w:p>
    <w:p w:rsidR="008E4B08" w:rsidRDefault="00C51EF0">
      <w:pPr>
        <w:spacing w:after="200"/>
        <w:ind w:left="720" w:hanging="720"/>
      </w:pPr>
      <w:r>
        <w:t xml:space="preserve">Callaway, Joseph A. "Ai." In </w:t>
      </w:r>
      <w:r>
        <w:rPr>
          <w:i/>
          <w:iCs/>
        </w:rPr>
        <w:t>The New Encyclopedia of Archaeological Excavations in the Holy Land</w:t>
      </w:r>
      <w:r>
        <w:t>, edited by Ephraim Stern, vol. 1. Jerusalem: Israel Exploration Society; New York: Simon &amp; Schuster, 1993.</w:t>
      </w:r>
    </w:p>
    <w:p w:rsidR="008E4B08" w:rsidRDefault="00C51EF0">
      <w:pPr>
        <w:spacing w:after="200"/>
        <w:ind w:left="720" w:hanging="720"/>
      </w:pPr>
      <w:proofErr w:type="spellStart"/>
      <w:r>
        <w:t>Charlesworth</w:t>
      </w:r>
      <w:proofErr w:type="spellEnd"/>
      <w:r>
        <w:t xml:space="preserve">, James H., ed. </w:t>
      </w:r>
      <w:r>
        <w:rPr>
          <w:i/>
          <w:iCs/>
        </w:rPr>
        <w:t>Jesus and Archaeology</w:t>
      </w:r>
      <w:r>
        <w:t>. Grand Rapids: Eerdmans, 2006.</w:t>
      </w:r>
    </w:p>
    <w:p w:rsidR="008E4B08" w:rsidRDefault="00C51EF0">
      <w:pPr>
        <w:spacing w:after="200"/>
        <w:ind w:left="720" w:hanging="720"/>
      </w:pPr>
      <w:r>
        <w:t xml:space="preserve">Craigie, Peter C. </w:t>
      </w:r>
      <w:r>
        <w:rPr>
          <w:i/>
          <w:iCs/>
        </w:rPr>
        <w:t>Ugarit and the Old Testament</w:t>
      </w:r>
      <w:r>
        <w:t>. Grand Rapids: Eerdmans, 1983.</w:t>
      </w:r>
    </w:p>
    <w:p w:rsidR="008E4B08" w:rsidRDefault="00C51EF0">
      <w:pPr>
        <w:spacing w:after="200"/>
        <w:ind w:left="720" w:hanging="720"/>
      </w:pPr>
      <w:proofErr w:type="spellStart"/>
      <w:r>
        <w:t>Crossan</w:t>
      </w:r>
      <w:proofErr w:type="spellEnd"/>
      <w:r>
        <w:t xml:space="preserve">, John Dominic, and Jonathan L. Reed. </w:t>
      </w:r>
      <w:r>
        <w:rPr>
          <w:i/>
          <w:iCs/>
        </w:rPr>
        <w:t>Excavating Jesus: Beneath the Stones, Behind the Texts</w:t>
      </w:r>
      <w:r>
        <w:t xml:space="preserve">. San Francisco: </w:t>
      </w:r>
      <w:proofErr w:type="spellStart"/>
      <w:r>
        <w:t>HarperSanFrancisco</w:t>
      </w:r>
      <w:proofErr w:type="spellEnd"/>
      <w:r>
        <w:t>, 2001.</w:t>
      </w:r>
    </w:p>
    <w:p w:rsidR="008E4B08" w:rsidRDefault="00C51EF0">
      <w:pPr>
        <w:spacing w:after="200"/>
        <w:ind w:left="720" w:hanging="720"/>
      </w:pPr>
      <w:proofErr w:type="spellStart"/>
      <w:r>
        <w:t>Currid</w:t>
      </w:r>
      <w:proofErr w:type="spellEnd"/>
      <w:r>
        <w:t xml:space="preserve">, John D. </w:t>
      </w:r>
      <w:r>
        <w:rPr>
          <w:i/>
          <w:iCs/>
        </w:rPr>
        <w:t>Doing Archaeology in the Land of the Bible: A Basic Guide</w:t>
      </w:r>
      <w:r>
        <w:t>. Grand Rapids: Baker, 1999.</w:t>
      </w:r>
    </w:p>
    <w:p w:rsidR="008E4B08" w:rsidRDefault="00C51EF0">
      <w:pPr>
        <w:spacing w:after="200"/>
        <w:ind w:left="720" w:hanging="720"/>
      </w:pPr>
      <w:r>
        <w:lastRenderedPageBreak/>
        <w:t xml:space="preserve">Dark, Ken. </w:t>
      </w:r>
      <w:r>
        <w:rPr>
          <w:i/>
          <w:iCs/>
        </w:rPr>
        <w:t>Roman-Period and Byzantine Nazareth and Its Hinterland</w:t>
      </w:r>
      <w:r>
        <w:t>. London: Routledge, 2020.</w:t>
      </w:r>
    </w:p>
    <w:p w:rsidR="008E4B08" w:rsidRDefault="00C51EF0">
      <w:pPr>
        <w:spacing w:after="200"/>
        <w:ind w:left="720" w:hanging="720"/>
      </w:pPr>
      <w:r>
        <w:t xml:space="preserve">Davies, Philip R. </w:t>
      </w:r>
      <w:r>
        <w:rPr>
          <w:i/>
          <w:iCs/>
        </w:rPr>
        <w:t>In Search of "Ancient Israel"</w:t>
      </w:r>
      <w:r>
        <w:t xml:space="preserve">. </w:t>
      </w:r>
      <w:proofErr w:type="spellStart"/>
      <w:r>
        <w:t>JSOTSup</w:t>
      </w:r>
      <w:proofErr w:type="spellEnd"/>
      <w:r>
        <w:t xml:space="preserve"> 148. Sheffield: JSOT Press, 1992.</w:t>
      </w:r>
    </w:p>
    <w:p w:rsidR="008E4B08" w:rsidRDefault="00C51EF0">
      <w:pPr>
        <w:spacing w:after="200"/>
        <w:ind w:left="720" w:hanging="720"/>
      </w:pPr>
      <w:r>
        <w:t xml:space="preserve">Davis, </w:t>
      </w:r>
      <w:proofErr w:type="spellStart"/>
      <w:r>
        <w:t>Kipp</w:t>
      </w:r>
      <w:proofErr w:type="spellEnd"/>
      <w:r>
        <w:t xml:space="preserve">, Ira Rabin, Ines Feldman, </w:t>
      </w:r>
      <w:proofErr w:type="spellStart"/>
      <w:r>
        <w:t>Myriam</w:t>
      </w:r>
      <w:proofErr w:type="spellEnd"/>
      <w:r>
        <w:t xml:space="preserve"> </w:t>
      </w:r>
      <w:proofErr w:type="spellStart"/>
      <w:r>
        <w:t>Krutzsch</w:t>
      </w:r>
      <w:proofErr w:type="spellEnd"/>
      <w:r>
        <w:t xml:space="preserve">, </w:t>
      </w:r>
      <w:proofErr w:type="spellStart"/>
      <w:r>
        <w:t>Hasia</w:t>
      </w:r>
      <w:proofErr w:type="spellEnd"/>
      <w:r>
        <w:t xml:space="preserve"> </w:t>
      </w:r>
      <w:proofErr w:type="spellStart"/>
      <w:r>
        <w:t>Rimon</w:t>
      </w:r>
      <w:proofErr w:type="spellEnd"/>
      <w:r>
        <w:t xml:space="preserve">, </w:t>
      </w:r>
      <w:proofErr w:type="spellStart"/>
      <w:r>
        <w:t>Årstein</w:t>
      </w:r>
      <w:proofErr w:type="spellEnd"/>
      <w:r>
        <w:t xml:space="preserve"> </w:t>
      </w:r>
      <w:proofErr w:type="spellStart"/>
      <w:r>
        <w:t>Justnes</w:t>
      </w:r>
      <w:proofErr w:type="spellEnd"/>
      <w:r>
        <w:t xml:space="preserve">, </w:t>
      </w:r>
      <w:proofErr w:type="spellStart"/>
      <w:r>
        <w:t>Torleif</w:t>
      </w:r>
      <w:proofErr w:type="spellEnd"/>
      <w:r>
        <w:t xml:space="preserve"> </w:t>
      </w:r>
      <w:proofErr w:type="spellStart"/>
      <w:r>
        <w:t>Elgvin</w:t>
      </w:r>
      <w:proofErr w:type="spellEnd"/>
      <w:r>
        <w:t xml:space="preserve">, and Michael </w:t>
      </w:r>
      <w:proofErr w:type="spellStart"/>
      <w:r>
        <w:t>Langlois</w:t>
      </w:r>
      <w:proofErr w:type="spellEnd"/>
      <w:r>
        <w:t xml:space="preserve">. "Nine Dubious 'Dead Sea Scrolls' Fragments from the Twenty-First Century." </w:t>
      </w:r>
      <w:r>
        <w:rPr>
          <w:i/>
          <w:iCs/>
        </w:rPr>
        <w:t>Dead Sea Discoveries</w:t>
      </w:r>
      <w:r>
        <w:t xml:space="preserve"> 24 (2017): 189–228.</w:t>
      </w:r>
    </w:p>
    <w:p w:rsidR="008E4B08" w:rsidRDefault="00C51EF0">
      <w:pPr>
        <w:spacing w:after="200"/>
        <w:ind w:left="720" w:hanging="720"/>
      </w:pPr>
      <w:r>
        <w:t xml:space="preserve">Davis, Thomas W. </w:t>
      </w:r>
      <w:r>
        <w:rPr>
          <w:i/>
          <w:iCs/>
        </w:rPr>
        <w:t xml:space="preserve">Shifting Sands: The Rise and </w:t>
      </w:r>
      <w:proofErr w:type="gramStart"/>
      <w:r>
        <w:rPr>
          <w:i/>
          <w:iCs/>
        </w:rPr>
        <w:t>Fall</w:t>
      </w:r>
      <w:proofErr w:type="gramEnd"/>
      <w:r>
        <w:rPr>
          <w:i/>
          <w:iCs/>
        </w:rPr>
        <w:t xml:space="preserve"> of Biblical Archaeology</w:t>
      </w:r>
      <w:r>
        <w:t>. New York: Oxford University Press, 2004.</w:t>
      </w:r>
    </w:p>
    <w:p w:rsidR="008E4B08" w:rsidRDefault="00C51EF0">
      <w:pPr>
        <w:spacing w:after="200"/>
        <w:ind w:left="720" w:hanging="720"/>
      </w:pPr>
      <w:r>
        <w:t xml:space="preserve">Dearman, J. Andrew, ed. </w:t>
      </w:r>
      <w:r>
        <w:rPr>
          <w:i/>
          <w:iCs/>
        </w:rPr>
        <w:t xml:space="preserve">Studies in the </w:t>
      </w:r>
      <w:proofErr w:type="spellStart"/>
      <w:r>
        <w:rPr>
          <w:i/>
          <w:iCs/>
        </w:rPr>
        <w:t>Mesha</w:t>
      </w:r>
      <w:proofErr w:type="spellEnd"/>
      <w:r>
        <w:rPr>
          <w:i/>
          <w:iCs/>
        </w:rPr>
        <w:t xml:space="preserve"> Inscription and Moab</w:t>
      </w:r>
      <w:r>
        <w:t>. Atlanta: Scholars Press, 1989.</w:t>
      </w:r>
    </w:p>
    <w:p w:rsidR="008E4B08" w:rsidRDefault="00C51EF0">
      <w:pPr>
        <w:spacing w:after="200"/>
        <w:ind w:left="720" w:hanging="720"/>
      </w:pPr>
      <w:proofErr w:type="spellStart"/>
      <w:r>
        <w:t>Dever</w:t>
      </w:r>
      <w:proofErr w:type="spellEnd"/>
      <w:r>
        <w:t xml:space="preserve">, William G. </w:t>
      </w:r>
      <w:r>
        <w:rPr>
          <w:i/>
          <w:iCs/>
        </w:rPr>
        <w:t>Did God Have a Wife? Archaeology and Folk Religion in Ancient Israel</w:t>
      </w:r>
      <w:r>
        <w:t>. Grand Rapids: Eerdmans, 2005.</w:t>
      </w:r>
    </w:p>
    <w:p w:rsidR="008E4B08" w:rsidRDefault="00C51EF0">
      <w:pPr>
        <w:spacing w:after="200"/>
        <w:ind w:left="720" w:hanging="720"/>
      </w:pPr>
      <w:r>
        <w:t>———. "</w:t>
      </w:r>
      <w:proofErr w:type="spellStart"/>
      <w:r>
        <w:t>Syro</w:t>
      </w:r>
      <w:proofErr w:type="spellEnd"/>
      <w:r>
        <w:t xml:space="preserve">-Palestinian and Biblical Archaeology." In </w:t>
      </w:r>
      <w:r>
        <w:rPr>
          <w:i/>
          <w:iCs/>
        </w:rPr>
        <w:t>The Hebrew Bible and Its Modern Interpreters</w:t>
      </w:r>
      <w:r>
        <w:t>, edited by Douglas A. Knight and Gene M. Tucker, 31–74. Philadelphia: Fortress, 1985.</w:t>
      </w:r>
    </w:p>
    <w:p w:rsidR="008E4B08" w:rsidRDefault="00C51EF0">
      <w:pPr>
        <w:spacing w:after="200"/>
        <w:ind w:left="720" w:hanging="720"/>
      </w:pPr>
      <w:r>
        <w:t xml:space="preserve">———. </w:t>
      </w:r>
      <w:r>
        <w:rPr>
          <w:i/>
          <w:iCs/>
        </w:rPr>
        <w:t>What Did the Biblical Writers Know and When Did They Know It?</w:t>
      </w:r>
      <w:r>
        <w:t xml:space="preserve"> Grand Rapids: Eerdmans, 2001.</w:t>
      </w:r>
    </w:p>
    <w:p w:rsidR="008E4B08" w:rsidRDefault="00C51EF0">
      <w:pPr>
        <w:spacing w:after="200"/>
        <w:ind w:left="720" w:hanging="720"/>
      </w:pPr>
      <w:r>
        <w:t xml:space="preserve">———. </w:t>
      </w:r>
      <w:r>
        <w:rPr>
          <w:i/>
          <w:iCs/>
        </w:rPr>
        <w:t>Who Were the Early Israelites and Where Did They Come From?</w:t>
      </w:r>
      <w:r>
        <w:t xml:space="preserve"> Grand Rapids: Eerdmans, 2003.</w:t>
      </w:r>
    </w:p>
    <w:p w:rsidR="008E4B08" w:rsidRDefault="00C51EF0">
      <w:pPr>
        <w:spacing w:after="200"/>
        <w:ind w:left="720" w:hanging="720"/>
      </w:pPr>
      <w:r>
        <w:t xml:space="preserve">Evans, Craig A. </w:t>
      </w:r>
      <w:r>
        <w:rPr>
          <w:i/>
          <w:iCs/>
        </w:rPr>
        <w:t>Jesus and His World: The Archaeological Evidence</w:t>
      </w:r>
      <w:r>
        <w:t>. Louisville: Westminster John Knox, 2012.</w:t>
      </w:r>
    </w:p>
    <w:p w:rsidR="008E4B08" w:rsidRDefault="00C51EF0">
      <w:pPr>
        <w:spacing w:after="200"/>
        <w:ind w:left="720" w:hanging="720"/>
      </w:pPr>
      <w:proofErr w:type="spellStart"/>
      <w:r>
        <w:t>Fant</w:t>
      </w:r>
      <w:proofErr w:type="spellEnd"/>
      <w:r>
        <w:t xml:space="preserve">, Clyde E., and Mitchell G. Reddish. </w:t>
      </w:r>
      <w:r>
        <w:rPr>
          <w:i/>
          <w:iCs/>
        </w:rPr>
        <w:t>A Guide to Biblical Sites in Greece and Turkey</w:t>
      </w:r>
      <w:r>
        <w:t>. New York: Oxford University Press, 2003.</w:t>
      </w:r>
    </w:p>
    <w:p w:rsidR="008E4B08" w:rsidRDefault="00C51EF0">
      <w:pPr>
        <w:spacing w:after="200"/>
        <w:ind w:left="720" w:hanging="720"/>
      </w:pPr>
      <w:r>
        <w:t xml:space="preserve">Faust, Avraham. </w:t>
      </w:r>
      <w:r>
        <w:rPr>
          <w:i/>
          <w:iCs/>
        </w:rPr>
        <w:t xml:space="preserve">Israel's </w:t>
      </w:r>
      <w:proofErr w:type="spellStart"/>
      <w:r>
        <w:rPr>
          <w:i/>
          <w:iCs/>
        </w:rPr>
        <w:t>Ethnogenesis</w:t>
      </w:r>
      <w:proofErr w:type="spellEnd"/>
      <w:r>
        <w:rPr>
          <w:i/>
          <w:iCs/>
        </w:rPr>
        <w:t>: Settlement, Interaction, Expansion and Resistance</w:t>
      </w:r>
      <w:r>
        <w:t>. London: Equinox, 2006.</w:t>
      </w:r>
    </w:p>
    <w:p w:rsidR="008E4B08" w:rsidRDefault="00C51EF0">
      <w:pPr>
        <w:spacing w:after="200"/>
        <w:ind w:left="720" w:hanging="720"/>
      </w:pPr>
      <w:r>
        <w:t xml:space="preserve">———. "The Large Stone Structure in the City of David: A Reexamination." </w:t>
      </w:r>
      <w:proofErr w:type="spellStart"/>
      <w:r>
        <w:rPr>
          <w:i/>
          <w:iCs/>
        </w:rPr>
        <w:t>Zeitschrift</w:t>
      </w:r>
      <w:proofErr w:type="spellEnd"/>
      <w:r>
        <w:rPr>
          <w:i/>
          <w:iCs/>
        </w:rPr>
        <w:t xml:space="preserve"> des </w:t>
      </w:r>
      <w:proofErr w:type="spellStart"/>
      <w:r>
        <w:rPr>
          <w:i/>
          <w:iCs/>
        </w:rPr>
        <w:t>Deutschen</w:t>
      </w:r>
      <w:proofErr w:type="spellEnd"/>
      <w:r>
        <w:rPr>
          <w:i/>
          <w:iCs/>
        </w:rPr>
        <w:t xml:space="preserve"> </w:t>
      </w:r>
      <w:proofErr w:type="spellStart"/>
      <w:r>
        <w:rPr>
          <w:i/>
          <w:iCs/>
        </w:rPr>
        <w:t>Palästina-Vereins</w:t>
      </w:r>
      <w:proofErr w:type="spellEnd"/>
      <w:r>
        <w:t xml:space="preserve"> 126 (2010): 116–30.</w:t>
      </w:r>
    </w:p>
    <w:p w:rsidR="008E4B08" w:rsidRDefault="00C51EF0">
      <w:pPr>
        <w:spacing w:after="200"/>
        <w:ind w:left="720" w:hanging="720"/>
      </w:pPr>
      <w:proofErr w:type="spellStart"/>
      <w:r>
        <w:t>Finkel</w:t>
      </w:r>
      <w:proofErr w:type="spellEnd"/>
      <w:r>
        <w:t xml:space="preserve">, Irving, </w:t>
      </w:r>
      <w:proofErr w:type="gramStart"/>
      <w:r>
        <w:t>ed</w:t>
      </w:r>
      <w:proofErr w:type="gramEnd"/>
      <w:r>
        <w:t xml:space="preserve">. </w:t>
      </w:r>
      <w:r>
        <w:rPr>
          <w:i/>
          <w:iCs/>
        </w:rPr>
        <w:t>The Cyrus Cylinder: The King of Persia's Proclamation from Ancient Babylon</w:t>
      </w:r>
      <w:r>
        <w:t>. London: I. B. Tauris, 2013.</w:t>
      </w:r>
    </w:p>
    <w:p w:rsidR="008E4B08" w:rsidRDefault="00C51EF0">
      <w:pPr>
        <w:spacing w:after="200"/>
        <w:ind w:left="720" w:hanging="720"/>
      </w:pPr>
      <w:r>
        <w:t xml:space="preserve">Finkelstein, Israel. </w:t>
      </w:r>
      <w:r>
        <w:rPr>
          <w:i/>
          <w:iCs/>
        </w:rPr>
        <w:t>The Archaeology of the Israelite Settlement</w:t>
      </w:r>
      <w:r>
        <w:t>. Jerusalem: Israel Exploration Society, 1988.</w:t>
      </w:r>
    </w:p>
    <w:p w:rsidR="008E4B08" w:rsidRDefault="00C51EF0">
      <w:pPr>
        <w:spacing w:after="200"/>
        <w:ind w:left="720" w:hanging="720"/>
      </w:pPr>
      <w:r>
        <w:t xml:space="preserve">———. "The Archaeology of the United Monarchy: An Alternative View." </w:t>
      </w:r>
      <w:r>
        <w:rPr>
          <w:i/>
          <w:iCs/>
        </w:rPr>
        <w:t>Levant</w:t>
      </w:r>
      <w:r>
        <w:t xml:space="preserve"> 28 (1996): 177–87.</w:t>
      </w:r>
    </w:p>
    <w:p w:rsidR="008E4B08" w:rsidRDefault="00C51EF0">
      <w:pPr>
        <w:spacing w:after="200"/>
        <w:ind w:left="720" w:hanging="720"/>
      </w:pPr>
      <w:r>
        <w:t xml:space="preserve">Finkelstein, Israel, and </w:t>
      </w:r>
      <w:proofErr w:type="spellStart"/>
      <w:r>
        <w:t>Amihai</w:t>
      </w:r>
      <w:proofErr w:type="spellEnd"/>
      <w:r>
        <w:t xml:space="preserve"> </w:t>
      </w:r>
      <w:proofErr w:type="spellStart"/>
      <w:r>
        <w:t>Mazar</w:t>
      </w:r>
      <w:proofErr w:type="spellEnd"/>
      <w:r>
        <w:t xml:space="preserve">. </w:t>
      </w:r>
      <w:r>
        <w:rPr>
          <w:i/>
          <w:iCs/>
        </w:rPr>
        <w:t>The Quest for the Historical Israel: Debating Archaeology and the History of Early Israel</w:t>
      </w:r>
      <w:r>
        <w:t>. Edited by Brian B. Schmidt. Atlanta: Society of Biblical Literature, 2007.</w:t>
      </w:r>
    </w:p>
    <w:p w:rsidR="008E4B08" w:rsidRDefault="00C51EF0">
      <w:pPr>
        <w:spacing w:after="200"/>
        <w:ind w:left="720" w:hanging="720"/>
      </w:pPr>
      <w:r>
        <w:lastRenderedPageBreak/>
        <w:t xml:space="preserve">Finkelstein, Israel, and Neil Asher Silberman. </w:t>
      </w:r>
      <w:r>
        <w:rPr>
          <w:i/>
          <w:iCs/>
        </w:rPr>
        <w:t>The Bible Unearthed: Archaeology's New Vision of Ancient Israel and the Origin of Its Sacred Texts</w:t>
      </w:r>
      <w:r>
        <w:t>. New York: Free Press, 2001.</w:t>
      </w:r>
    </w:p>
    <w:p w:rsidR="008E4B08" w:rsidRDefault="00C51EF0">
      <w:pPr>
        <w:spacing w:after="200"/>
        <w:ind w:left="720" w:hanging="720"/>
      </w:pPr>
      <w:r>
        <w:t xml:space="preserve">———. </w:t>
      </w:r>
      <w:r>
        <w:rPr>
          <w:i/>
          <w:iCs/>
        </w:rPr>
        <w:t>David and Solomon: In Search of the Bible's Sacred Kings and the Roots of the Western Tradition</w:t>
      </w:r>
      <w:r>
        <w:t>. New York: Free Press, 2006.</w:t>
      </w:r>
    </w:p>
    <w:p w:rsidR="008E4B08" w:rsidRDefault="00C51EF0">
      <w:pPr>
        <w:spacing w:after="200"/>
        <w:ind w:left="720" w:hanging="720"/>
      </w:pPr>
      <w:proofErr w:type="spellStart"/>
      <w:r>
        <w:t>Frumkin</w:t>
      </w:r>
      <w:proofErr w:type="spellEnd"/>
      <w:r>
        <w:t xml:space="preserve">, Amos, </w:t>
      </w:r>
      <w:proofErr w:type="spellStart"/>
      <w:r>
        <w:t>Aryeh</w:t>
      </w:r>
      <w:proofErr w:type="spellEnd"/>
      <w:r>
        <w:t xml:space="preserve"> </w:t>
      </w:r>
      <w:proofErr w:type="spellStart"/>
      <w:r>
        <w:t>Shimron</w:t>
      </w:r>
      <w:proofErr w:type="spellEnd"/>
      <w:r>
        <w:t xml:space="preserve">, and Jeff Rosenbaum. "Radiometric Dating of the Siloam Tunnel, Jerusalem." </w:t>
      </w:r>
      <w:r>
        <w:rPr>
          <w:i/>
          <w:iCs/>
        </w:rPr>
        <w:t>Nature</w:t>
      </w:r>
      <w:r>
        <w:t xml:space="preserve"> 425 (2003): 169–71.</w:t>
      </w:r>
    </w:p>
    <w:p w:rsidR="008E4B08" w:rsidRDefault="00C51EF0">
      <w:pPr>
        <w:spacing w:after="200"/>
        <w:ind w:left="720" w:hanging="720"/>
      </w:pPr>
      <w:proofErr w:type="spellStart"/>
      <w:r>
        <w:t>Garfinkel</w:t>
      </w:r>
      <w:proofErr w:type="spellEnd"/>
      <w:r>
        <w:t xml:space="preserve">, Yosef, and Saar </w:t>
      </w:r>
      <w:proofErr w:type="spellStart"/>
      <w:r>
        <w:t>Ganor</w:t>
      </w:r>
      <w:proofErr w:type="spellEnd"/>
      <w:r>
        <w:t xml:space="preserve">. </w:t>
      </w:r>
      <w:r>
        <w:rPr>
          <w:i/>
          <w:iCs/>
        </w:rPr>
        <w:t xml:space="preserve">Khirbet </w:t>
      </w:r>
      <w:proofErr w:type="spellStart"/>
      <w:r>
        <w:rPr>
          <w:i/>
          <w:iCs/>
        </w:rPr>
        <w:t>Qeiyafa</w:t>
      </w:r>
      <w:proofErr w:type="spellEnd"/>
      <w:r>
        <w:t xml:space="preserve">. Vol. 1, </w:t>
      </w:r>
      <w:r>
        <w:rPr>
          <w:i/>
          <w:iCs/>
        </w:rPr>
        <w:t>Excavation Report 2007–2008</w:t>
      </w:r>
      <w:r>
        <w:t>. Jerusalem: Israel Exploration Society, 2009.</w:t>
      </w:r>
    </w:p>
    <w:p w:rsidR="008E4B08" w:rsidRDefault="00C51EF0">
      <w:pPr>
        <w:spacing w:after="200"/>
        <w:ind w:left="720" w:hanging="720"/>
      </w:pPr>
      <w:proofErr w:type="spellStart"/>
      <w:r>
        <w:t>Garfinkel</w:t>
      </w:r>
      <w:proofErr w:type="spellEnd"/>
      <w:r>
        <w:t xml:space="preserve">, Yosef, Igor </w:t>
      </w:r>
      <w:proofErr w:type="spellStart"/>
      <w:r>
        <w:t>Kreimerman</w:t>
      </w:r>
      <w:proofErr w:type="spellEnd"/>
      <w:r>
        <w:t xml:space="preserve">, and Peter </w:t>
      </w:r>
      <w:proofErr w:type="spellStart"/>
      <w:r>
        <w:t>Zilberg</w:t>
      </w:r>
      <w:proofErr w:type="spellEnd"/>
      <w:r>
        <w:t xml:space="preserve">. </w:t>
      </w:r>
      <w:r>
        <w:rPr>
          <w:i/>
          <w:iCs/>
        </w:rPr>
        <w:t xml:space="preserve">Debating Khirbet </w:t>
      </w:r>
      <w:proofErr w:type="spellStart"/>
      <w:r>
        <w:rPr>
          <w:i/>
          <w:iCs/>
        </w:rPr>
        <w:t>Qeiyafa</w:t>
      </w:r>
      <w:proofErr w:type="spellEnd"/>
      <w:r>
        <w:rPr>
          <w:i/>
          <w:iCs/>
        </w:rPr>
        <w:t>: A Fortified City in Judah from the Time of King David</w:t>
      </w:r>
      <w:r>
        <w:t>. Jerusalem: Israel Exploration Society, 2016.</w:t>
      </w:r>
    </w:p>
    <w:p w:rsidR="008E4B08" w:rsidRDefault="00C51EF0">
      <w:pPr>
        <w:spacing w:after="200"/>
        <w:ind w:left="720" w:hanging="720"/>
      </w:pPr>
      <w:proofErr w:type="spellStart"/>
      <w:r>
        <w:t>Garstang</w:t>
      </w:r>
      <w:proofErr w:type="spellEnd"/>
      <w:r>
        <w:t xml:space="preserve">, John, and J. B. E. </w:t>
      </w:r>
      <w:proofErr w:type="spellStart"/>
      <w:r>
        <w:t>Garstang</w:t>
      </w:r>
      <w:proofErr w:type="spellEnd"/>
      <w:r>
        <w:t xml:space="preserve">. </w:t>
      </w:r>
      <w:r>
        <w:rPr>
          <w:i/>
          <w:iCs/>
        </w:rPr>
        <w:t>The Story of Jericho</w:t>
      </w:r>
      <w:r>
        <w:t>. London: Hodder &amp; Stoughton, 1940.</w:t>
      </w:r>
    </w:p>
    <w:p w:rsidR="008E4B08" w:rsidRDefault="00C51EF0">
      <w:pPr>
        <w:spacing w:after="200"/>
        <w:ind w:left="720" w:hanging="720"/>
      </w:pPr>
      <w:r>
        <w:t xml:space="preserve">Gill, David W. J. "Erastus the Aedile." </w:t>
      </w:r>
      <w:r>
        <w:rPr>
          <w:i/>
          <w:iCs/>
        </w:rPr>
        <w:t>Tyndale Bulletin</w:t>
      </w:r>
      <w:r>
        <w:t xml:space="preserve"> 40 (1989): 293–301.</w:t>
      </w:r>
    </w:p>
    <w:p w:rsidR="008E4B08" w:rsidRDefault="00C51EF0">
      <w:pPr>
        <w:spacing w:after="200"/>
        <w:ind w:left="720" w:hanging="720"/>
      </w:pPr>
      <w:proofErr w:type="spellStart"/>
      <w:r>
        <w:t>Gottwald</w:t>
      </w:r>
      <w:proofErr w:type="spellEnd"/>
      <w:r>
        <w:t xml:space="preserve">, Norman K. </w:t>
      </w:r>
      <w:r>
        <w:rPr>
          <w:i/>
          <w:iCs/>
        </w:rPr>
        <w:t>The Tribes of Yahweh: A Sociology of the Religion of Liberated Israel, 1250–1050 B.C.E.</w:t>
      </w:r>
      <w:r>
        <w:t xml:space="preserve"> </w:t>
      </w:r>
      <w:proofErr w:type="spellStart"/>
      <w:r>
        <w:t>Maryknoll</w:t>
      </w:r>
      <w:proofErr w:type="spellEnd"/>
      <w:r>
        <w:t xml:space="preserve">, </w:t>
      </w:r>
      <w:proofErr w:type="gramStart"/>
      <w:r>
        <w:t>NY</w:t>
      </w:r>
      <w:proofErr w:type="gramEnd"/>
      <w:r>
        <w:t xml:space="preserve">: </w:t>
      </w:r>
      <w:proofErr w:type="spellStart"/>
      <w:r>
        <w:t>Orbis</w:t>
      </w:r>
      <w:proofErr w:type="spellEnd"/>
      <w:r>
        <w:t>, 1979.</w:t>
      </w:r>
    </w:p>
    <w:p w:rsidR="008E4B08" w:rsidRDefault="00C51EF0">
      <w:pPr>
        <w:spacing w:after="200"/>
        <w:ind w:left="720" w:hanging="720"/>
      </w:pPr>
      <w:r>
        <w:t xml:space="preserve">Grayson, A. K. </w:t>
      </w:r>
      <w:r>
        <w:rPr>
          <w:i/>
          <w:iCs/>
        </w:rPr>
        <w:t>Assyrian and Babylonian Chronicles</w:t>
      </w:r>
      <w:r>
        <w:t>. Locust Valley, NY: J. J. Augustin, 1975.</w:t>
      </w:r>
    </w:p>
    <w:p w:rsidR="008E4B08" w:rsidRDefault="00C51EF0">
      <w:pPr>
        <w:spacing w:after="200"/>
        <w:ind w:left="720" w:hanging="720"/>
      </w:pPr>
      <w:proofErr w:type="spellStart"/>
      <w:r>
        <w:t>Greenhut</w:t>
      </w:r>
      <w:proofErr w:type="spellEnd"/>
      <w:r>
        <w:t xml:space="preserve">, </w:t>
      </w:r>
      <w:proofErr w:type="spellStart"/>
      <w:r>
        <w:t>Zvi</w:t>
      </w:r>
      <w:proofErr w:type="spellEnd"/>
      <w:r>
        <w:t xml:space="preserve">. "Burial Cave of the Caiaphas Family." </w:t>
      </w:r>
      <w:r>
        <w:rPr>
          <w:i/>
          <w:iCs/>
        </w:rPr>
        <w:t>Biblical Archaeology Review</w:t>
      </w:r>
      <w:r>
        <w:t xml:space="preserve"> 18, no. 5 (1992): 28–36, 76.</w:t>
      </w:r>
    </w:p>
    <w:p w:rsidR="008E4B08" w:rsidRDefault="00C51EF0">
      <w:pPr>
        <w:spacing w:after="200"/>
        <w:ind w:left="720" w:hanging="720"/>
      </w:pPr>
      <w:r>
        <w:t xml:space="preserve">Hallo, William W. "Biblical History in Its Near Eastern Setting: The Contextual Approach." In </w:t>
      </w:r>
      <w:r>
        <w:rPr>
          <w:i/>
          <w:iCs/>
        </w:rPr>
        <w:t>Scripture in Context: Essays on the Comparative Method</w:t>
      </w:r>
      <w:r>
        <w:t>, edited by Carl D. Evans, William W. Hallo, and John B. White, 1–26. Pittsburgh: Pickwick, 1980.</w:t>
      </w:r>
    </w:p>
    <w:p w:rsidR="008E4B08" w:rsidRDefault="00C51EF0">
      <w:pPr>
        <w:spacing w:after="200"/>
        <w:ind w:left="720" w:hanging="720"/>
      </w:pPr>
      <w:r>
        <w:t xml:space="preserve">Hallo, William W., and K. Lawson Younger Jr., </w:t>
      </w:r>
      <w:proofErr w:type="gramStart"/>
      <w:r>
        <w:t>eds</w:t>
      </w:r>
      <w:proofErr w:type="gramEnd"/>
      <w:r>
        <w:t xml:space="preserve">. </w:t>
      </w:r>
      <w:r>
        <w:rPr>
          <w:i/>
          <w:iCs/>
        </w:rPr>
        <w:t>The Context of Scripture</w:t>
      </w:r>
      <w:r>
        <w:t>. 4 vols. Leiden: Brill, 1997–2017.</w:t>
      </w:r>
    </w:p>
    <w:p w:rsidR="008E4B08" w:rsidRDefault="00C51EF0">
      <w:pPr>
        <w:spacing w:after="200"/>
        <w:ind w:left="720" w:hanging="720"/>
      </w:pPr>
      <w:proofErr w:type="spellStart"/>
      <w:r>
        <w:t>Hasel</w:t>
      </w:r>
      <w:proofErr w:type="spellEnd"/>
      <w:r>
        <w:t xml:space="preserve">, Michael G. "Israel in the </w:t>
      </w:r>
      <w:proofErr w:type="spellStart"/>
      <w:r>
        <w:t>Merneptah</w:t>
      </w:r>
      <w:proofErr w:type="spellEnd"/>
      <w:r>
        <w:t xml:space="preserve"> Stela." </w:t>
      </w:r>
      <w:r>
        <w:rPr>
          <w:i/>
          <w:iCs/>
        </w:rPr>
        <w:t>Bulletin of the American Schools of Oriental Research</w:t>
      </w:r>
      <w:r>
        <w:t xml:space="preserve"> 296 (1994): 45–61.</w:t>
      </w:r>
    </w:p>
    <w:p w:rsidR="008E4B08" w:rsidRDefault="00C51EF0">
      <w:pPr>
        <w:spacing w:after="200"/>
        <w:ind w:left="720" w:hanging="720"/>
      </w:pPr>
      <w:proofErr w:type="spellStart"/>
      <w:r>
        <w:t>Hemer</w:t>
      </w:r>
      <w:proofErr w:type="spellEnd"/>
      <w:r>
        <w:t xml:space="preserve">, Colin J. </w:t>
      </w:r>
      <w:r>
        <w:rPr>
          <w:i/>
          <w:iCs/>
        </w:rPr>
        <w:t>The Book of Acts in the Setting of Hellenistic History</w:t>
      </w:r>
      <w:r>
        <w:t xml:space="preserve">. Edited by Conrad H. </w:t>
      </w:r>
      <w:proofErr w:type="spellStart"/>
      <w:r>
        <w:t>Gempf</w:t>
      </w:r>
      <w:proofErr w:type="spellEnd"/>
      <w:r>
        <w:t xml:space="preserve">. WUNT 49. </w:t>
      </w:r>
      <w:proofErr w:type="spellStart"/>
      <w:r>
        <w:t>Tübingen</w:t>
      </w:r>
      <w:proofErr w:type="spellEnd"/>
      <w:r>
        <w:t xml:space="preserve">: Mohr </w:t>
      </w:r>
      <w:proofErr w:type="spellStart"/>
      <w:r>
        <w:t>Siebeck</w:t>
      </w:r>
      <w:proofErr w:type="spellEnd"/>
      <w:r>
        <w:t>, 1989.</w:t>
      </w:r>
    </w:p>
    <w:p w:rsidR="008E4B08" w:rsidRDefault="00C51EF0">
      <w:pPr>
        <w:spacing w:after="200"/>
        <w:ind w:left="720" w:hanging="720"/>
      </w:pPr>
      <w:r>
        <w:t xml:space="preserve">———. </w:t>
      </w:r>
      <w:r>
        <w:rPr>
          <w:i/>
          <w:iCs/>
        </w:rPr>
        <w:t>The Letters to the Seven Churches of Asia in Their Local Setting</w:t>
      </w:r>
      <w:r>
        <w:t xml:space="preserve">. </w:t>
      </w:r>
      <w:proofErr w:type="spellStart"/>
      <w:r>
        <w:t>JSNTSup</w:t>
      </w:r>
      <w:proofErr w:type="spellEnd"/>
      <w:r>
        <w:t xml:space="preserve"> 11. Sheffield: JSOT Press, 1986.</w:t>
      </w:r>
    </w:p>
    <w:p w:rsidR="008E4B08" w:rsidRDefault="00C51EF0">
      <w:pPr>
        <w:spacing w:after="200"/>
        <w:ind w:left="720" w:hanging="720"/>
      </w:pPr>
      <w:proofErr w:type="spellStart"/>
      <w:r>
        <w:t>Hoerth</w:t>
      </w:r>
      <w:proofErr w:type="spellEnd"/>
      <w:r>
        <w:t xml:space="preserve">, Alfred J. </w:t>
      </w:r>
      <w:r>
        <w:rPr>
          <w:i/>
          <w:iCs/>
        </w:rPr>
        <w:t>Archaeology and the Old Testament</w:t>
      </w:r>
      <w:r>
        <w:t>. Grand Rapids: Baker, 1998.</w:t>
      </w:r>
    </w:p>
    <w:p w:rsidR="008E4B08" w:rsidRDefault="00C51EF0">
      <w:pPr>
        <w:spacing w:after="200"/>
        <w:ind w:left="720" w:hanging="720"/>
      </w:pPr>
      <w:proofErr w:type="spellStart"/>
      <w:r>
        <w:t>Hoffmeier</w:t>
      </w:r>
      <w:proofErr w:type="spellEnd"/>
      <w:r>
        <w:t xml:space="preserve">, James K. </w:t>
      </w:r>
      <w:r>
        <w:rPr>
          <w:i/>
          <w:iCs/>
        </w:rPr>
        <w:t>Ancient Israel in Sinai: The Evidence for the Authenticity of the Wilderness Tradition</w:t>
      </w:r>
      <w:r>
        <w:t>. New York: Oxford University Press, 2005.</w:t>
      </w:r>
    </w:p>
    <w:p w:rsidR="008E4B08" w:rsidRDefault="00C51EF0">
      <w:pPr>
        <w:spacing w:after="200"/>
        <w:ind w:left="720" w:hanging="720"/>
      </w:pPr>
      <w:r>
        <w:t xml:space="preserve">———. </w:t>
      </w:r>
      <w:r>
        <w:rPr>
          <w:i/>
          <w:iCs/>
        </w:rPr>
        <w:t>Israel in Egypt: The Evidence for the Authenticity of the Exodus Tradition</w:t>
      </w:r>
      <w:r>
        <w:t>. New York: Oxford University Press, 1997.</w:t>
      </w:r>
    </w:p>
    <w:p w:rsidR="008E4B08" w:rsidRDefault="00C51EF0">
      <w:pPr>
        <w:spacing w:after="200"/>
        <w:ind w:left="720" w:hanging="720"/>
      </w:pPr>
      <w:proofErr w:type="spellStart"/>
      <w:r>
        <w:lastRenderedPageBreak/>
        <w:t>Hoffmeier</w:t>
      </w:r>
      <w:proofErr w:type="spellEnd"/>
      <w:r>
        <w:t xml:space="preserve">, James K., and Alan Millard, </w:t>
      </w:r>
      <w:proofErr w:type="gramStart"/>
      <w:r>
        <w:t>eds</w:t>
      </w:r>
      <w:proofErr w:type="gramEnd"/>
      <w:r>
        <w:t xml:space="preserve">. </w:t>
      </w:r>
      <w:r>
        <w:rPr>
          <w:i/>
          <w:iCs/>
        </w:rPr>
        <w:t>The Future of Biblical Archaeology: Reassessing Methodologies and Assumptions</w:t>
      </w:r>
      <w:r>
        <w:t>. Grand Rapids: Eerdmans, 2004.</w:t>
      </w:r>
    </w:p>
    <w:p w:rsidR="008E4B08" w:rsidRDefault="00C51EF0">
      <w:pPr>
        <w:spacing w:after="200"/>
        <w:ind w:left="720" w:hanging="720"/>
      </w:pPr>
      <w:proofErr w:type="spellStart"/>
      <w:r>
        <w:t>Holter</w:t>
      </w:r>
      <w:proofErr w:type="spellEnd"/>
      <w:r>
        <w:t xml:space="preserve">, Knut. </w:t>
      </w:r>
      <w:r>
        <w:rPr>
          <w:i/>
          <w:iCs/>
        </w:rPr>
        <w:t>Yahweh in Africa: Essays on Africa and the Old Testament</w:t>
      </w:r>
      <w:r>
        <w:t>. New York: Peter Lang, 2000.</w:t>
      </w:r>
    </w:p>
    <w:p w:rsidR="008E4B08" w:rsidRDefault="00C51EF0">
      <w:pPr>
        <w:spacing w:after="200"/>
        <w:ind w:left="720" w:hanging="720"/>
      </w:pPr>
      <w:r>
        <w:t xml:space="preserve">Horsley, G. H. R. "The </w:t>
      </w:r>
      <w:proofErr w:type="spellStart"/>
      <w:r>
        <w:t>Politarchs</w:t>
      </w:r>
      <w:proofErr w:type="spellEnd"/>
      <w:r>
        <w:t xml:space="preserve">." In </w:t>
      </w:r>
      <w:r>
        <w:rPr>
          <w:i/>
          <w:iCs/>
        </w:rPr>
        <w:t xml:space="preserve">The Book of Acts in Its </w:t>
      </w:r>
      <w:proofErr w:type="spellStart"/>
      <w:r>
        <w:rPr>
          <w:i/>
          <w:iCs/>
        </w:rPr>
        <w:t>Graeco</w:t>
      </w:r>
      <w:proofErr w:type="spellEnd"/>
      <w:r>
        <w:rPr>
          <w:i/>
          <w:iCs/>
        </w:rPr>
        <w:t>-Roman Setting</w:t>
      </w:r>
      <w:r>
        <w:t xml:space="preserve">, edited by David W. J. Gill and Conrad </w:t>
      </w:r>
      <w:proofErr w:type="spellStart"/>
      <w:r>
        <w:t>Gempf</w:t>
      </w:r>
      <w:proofErr w:type="spellEnd"/>
      <w:r>
        <w:t>, 419–31. Grand Rapids: Eerdmans, 1994.</w:t>
      </w:r>
    </w:p>
    <w:p w:rsidR="008E4B08" w:rsidRDefault="00C51EF0">
      <w:pPr>
        <w:spacing w:after="200"/>
        <w:ind w:left="720" w:hanging="720"/>
      </w:pPr>
      <w:r>
        <w:t xml:space="preserve">Jeremias, Joachim. </w:t>
      </w:r>
      <w:r>
        <w:rPr>
          <w:i/>
          <w:iCs/>
        </w:rPr>
        <w:t>The Rediscovery of Bethesda: John 5:2</w:t>
      </w:r>
      <w:r>
        <w:t>. Louisville: Southern Baptist Theological Seminary, 1966.</w:t>
      </w:r>
    </w:p>
    <w:p w:rsidR="008E4B08" w:rsidRDefault="00C51EF0">
      <w:pPr>
        <w:spacing w:after="200"/>
        <w:ind w:left="720" w:hanging="720"/>
      </w:pPr>
      <w:r>
        <w:t xml:space="preserve">Kenyon, Kathleen M. </w:t>
      </w:r>
      <w:r>
        <w:rPr>
          <w:i/>
          <w:iCs/>
        </w:rPr>
        <w:t xml:space="preserve">Digging </w:t>
      </w:r>
      <w:proofErr w:type="gramStart"/>
      <w:r>
        <w:rPr>
          <w:i/>
          <w:iCs/>
        </w:rPr>
        <w:t>Up</w:t>
      </w:r>
      <w:proofErr w:type="gramEnd"/>
      <w:r>
        <w:rPr>
          <w:i/>
          <w:iCs/>
        </w:rPr>
        <w:t xml:space="preserve"> Jericho</w:t>
      </w:r>
      <w:r>
        <w:t>. London: Ernest Benn, 1957.</w:t>
      </w:r>
    </w:p>
    <w:p w:rsidR="008E4B08" w:rsidRDefault="00C51EF0">
      <w:pPr>
        <w:spacing w:after="200"/>
        <w:ind w:left="720" w:hanging="720"/>
      </w:pPr>
      <w:r>
        <w:t xml:space="preserve">King, Philip J., and Lawrence E. Stager. </w:t>
      </w:r>
      <w:r>
        <w:rPr>
          <w:i/>
          <w:iCs/>
        </w:rPr>
        <w:t>Life in Biblical Israel</w:t>
      </w:r>
      <w:r>
        <w:t>. Louisville: Westminster John Knox, 2001.</w:t>
      </w:r>
    </w:p>
    <w:p w:rsidR="008E4B08" w:rsidRDefault="00C51EF0">
      <w:pPr>
        <w:spacing w:after="200"/>
        <w:ind w:left="720" w:hanging="720"/>
      </w:pPr>
      <w:r>
        <w:t xml:space="preserve">Kitchen, K. A. </w:t>
      </w:r>
      <w:r>
        <w:rPr>
          <w:i/>
          <w:iCs/>
        </w:rPr>
        <w:t>On the Reliability of the Old Testament</w:t>
      </w:r>
      <w:r>
        <w:t>. Grand Rapids: Eerdmans, 2003.</w:t>
      </w:r>
    </w:p>
    <w:p w:rsidR="008E4B08" w:rsidRDefault="00C51EF0">
      <w:pPr>
        <w:spacing w:after="200"/>
        <w:ind w:left="720" w:hanging="720"/>
      </w:pPr>
      <w:r>
        <w:t xml:space="preserve">Kitchen, K. A., and Paul J. N. Lawrence. </w:t>
      </w:r>
      <w:r>
        <w:rPr>
          <w:i/>
          <w:iCs/>
        </w:rPr>
        <w:t xml:space="preserve">Treaty, Law and Covenant in the Ancient </w:t>
      </w:r>
      <w:proofErr w:type="gramStart"/>
      <w:r>
        <w:rPr>
          <w:i/>
          <w:iCs/>
        </w:rPr>
        <w:t>Near</w:t>
      </w:r>
      <w:proofErr w:type="gramEnd"/>
      <w:r>
        <w:rPr>
          <w:i/>
          <w:iCs/>
        </w:rPr>
        <w:t xml:space="preserve"> East</w:t>
      </w:r>
      <w:r>
        <w:t xml:space="preserve">. 3 vols. Wiesbaden: </w:t>
      </w:r>
      <w:proofErr w:type="spellStart"/>
      <w:r>
        <w:t>Harrassowitz</w:t>
      </w:r>
      <w:proofErr w:type="spellEnd"/>
      <w:r>
        <w:t>, 2012.</w:t>
      </w:r>
    </w:p>
    <w:p w:rsidR="008E4B08" w:rsidRDefault="00C51EF0">
      <w:pPr>
        <w:spacing w:after="200"/>
        <w:ind w:left="720" w:hanging="720"/>
      </w:pPr>
      <w:proofErr w:type="spellStart"/>
      <w:r>
        <w:t>Lemaire</w:t>
      </w:r>
      <w:proofErr w:type="spellEnd"/>
      <w:r>
        <w:t xml:space="preserve">, André. "Burial Box of James the Brother of Jesus." </w:t>
      </w:r>
      <w:r>
        <w:rPr>
          <w:i/>
          <w:iCs/>
        </w:rPr>
        <w:t>Biblical Archaeology Review</w:t>
      </w:r>
      <w:r>
        <w:t xml:space="preserve"> 28, no. 6 (2002): 24–33, 70.</w:t>
      </w:r>
    </w:p>
    <w:p w:rsidR="008E4B08" w:rsidRDefault="00C51EF0">
      <w:pPr>
        <w:spacing w:after="200"/>
        <w:ind w:left="720" w:hanging="720"/>
      </w:pPr>
      <w:r>
        <w:t xml:space="preserve">———. "'House of David' Restored in Moabite Inscription." </w:t>
      </w:r>
      <w:r>
        <w:rPr>
          <w:i/>
          <w:iCs/>
        </w:rPr>
        <w:t>Biblical Archaeology Review</w:t>
      </w:r>
      <w:r>
        <w:t xml:space="preserve"> 20, no. 3 (1994): 30–37.</w:t>
      </w:r>
    </w:p>
    <w:p w:rsidR="008E4B08" w:rsidRDefault="00C51EF0">
      <w:pPr>
        <w:spacing w:after="200"/>
        <w:ind w:left="720" w:hanging="720"/>
      </w:pPr>
      <w:r>
        <w:t xml:space="preserve">Levy, Thomas E., ed. </w:t>
      </w:r>
      <w:r>
        <w:rPr>
          <w:i/>
          <w:iCs/>
        </w:rPr>
        <w:t>Historical Biblical Archaeology and the Future: The New Pragmatism</w:t>
      </w:r>
      <w:r>
        <w:t>. London: Equinox, 2010.</w:t>
      </w:r>
    </w:p>
    <w:p w:rsidR="008E4B08" w:rsidRDefault="00C51EF0">
      <w:pPr>
        <w:spacing w:after="200"/>
        <w:ind w:left="720" w:hanging="720"/>
      </w:pPr>
      <w:r>
        <w:t xml:space="preserve">Long, V. Philips. </w:t>
      </w:r>
      <w:r>
        <w:rPr>
          <w:i/>
          <w:iCs/>
        </w:rPr>
        <w:t>The Art of Biblical History</w:t>
      </w:r>
      <w:r>
        <w:t>. Grand Rapids: Zondervan, 1994.</w:t>
      </w:r>
    </w:p>
    <w:p w:rsidR="008E4B08" w:rsidRDefault="00C51EF0">
      <w:pPr>
        <w:spacing w:after="200"/>
        <w:ind w:left="720" w:hanging="720"/>
      </w:pPr>
      <w:proofErr w:type="spellStart"/>
      <w:r>
        <w:t>Magness</w:t>
      </w:r>
      <w:proofErr w:type="spellEnd"/>
      <w:r>
        <w:t xml:space="preserve">, Jodi. </w:t>
      </w:r>
      <w:r>
        <w:rPr>
          <w:i/>
          <w:iCs/>
        </w:rPr>
        <w:t>The Archaeology of Qumran and the Dead Sea Scrolls</w:t>
      </w:r>
      <w:r>
        <w:t>. 2nd ed. Grand Rapids: Eerdmans, 2021.</w:t>
      </w:r>
    </w:p>
    <w:p w:rsidR="008E4B08" w:rsidRDefault="00C51EF0">
      <w:pPr>
        <w:spacing w:after="200"/>
        <w:ind w:left="720" w:hanging="720"/>
      </w:pPr>
      <w:proofErr w:type="spellStart"/>
      <w:r>
        <w:t>Mazar</w:t>
      </w:r>
      <w:proofErr w:type="spellEnd"/>
      <w:r>
        <w:t xml:space="preserve">, </w:t>
      </w:r>
      <w:proofErr w:type="spellStart"/>
      <w:r>
        <w:t>Amihai</w:t>
      </w:r>
      <w:proofErr w:type="spellEnd"/>
      <w:r>
        <w:t xml:space="preserve">. </w:t>
      </w:r>
      <w:r>
        <w:rPr>
          <w:i/>
          <w:iCs/>
        </w:rPr>
        <w:t>Archaeology of the Land of the Bible, 10,000–586 B.C.E.</w:t>
      </w:r>
      <w:r>
        <w:t xml:space="preserve"> New York: Doubleday, 1990.</w:t>
      </w:r>
    </w:p>
    <w:p w:rsidR="008E4B08" w:rsidRDefault="00C51EF0">
      <w:pPr>
        <w:spacing w:after="200"/>
        <w:ind w:left="720" w:hanging="720"/>
      </w:pPr>
      <w:r>
        <w:t xml:space="preserve">———. "Iron Age Chronology: A Reply to I. Finkelstein." </w:t>
      </w:r>
      <w:r>
        <w:rPr>
          <w:i/>
          <w:iCs/>
        </w:rPr>
        <w:t>Levant</w:t>
      </w:r>
      <w:r>
        <w:t xml:space="preserve"> 29 (1997): 157–67.</w:t>
      </w:r>
    </w:p>
    <w:p w:rsidR="008E4B08" w:rsidRDefault="00C51EF0">
      <w:pPr>
        <w:spacing w:after="200"/>
        <w:ind w:left="720" w:hanging="720"/>
      </w:pPr>
      <w:proofErr w:type="spellStart"/>
      <w:r>
        <w:t>Mazar</w:t>
      </w:r>
      <w:proofErr w:type="spellEnd"/>
      <w:r>
        <w:t xml:space="preserve">, </w:t>
      </w:r>
      <w:proofErr w:type="spellStart"/>
      <w:r>
        <w:t>Amihai</w:t>
      </w:r>
      <w:proofErr w:type="spellEnd"/>
      <w:r>
        <w:t xml:space="preserve">, and Christopher </w:t>
      </w:r>
      <w:proofErr w:type="spellStart"/>
      <w:r>
        <w:t>Bronk</w:t>
      </w:r>
      <w:proofErr w:type="spellEnd"/>
      <w:r>
        <w:t xml:space="preserve"> Ramsey. "14C Dates and the Iron Age Chronology of Israel: A Response." </w:t>
      </w:r>
      <w:r>
        <w:rPr>
          <w:i/>
          <w:iCs/>
        </w:rPr>
        <w:t>Radiocarbon</w:t>
      </w:r>
      <w:r>
        <w:t xml:space="preserve"> 50 (2008): 159–80.</w:t>
      </w:r>
    </w:p>
    <w:p w:rsidR="008E4B08" w:rsidRDefault="00C51EF0">
      <w:pPr>
        <w:spacing w:after="200"/>
        <w:ind w:left="720" w:hanging="720"/>
      </w:pPr>
      <w:proofErr w:type="spellStart"/>
      <w:r>
        <w:t>Mazar</w:t>
      </w:r>
      <w:proofErr w:type="spellEnd"/>
      <w:r>
        <w:t xml:space="preserve">, </w:t>
      </w:r>
      <w:proofErr w:type="spellStart"/>
      <w:r>
        <w:t>Eilat</w:t>
      </w:r>
      <w:proofErr w:type="spellEnd"/>
      <w:r>
        <w:t xml:space="preserve">. "Did I Find King David's Palace?" </w:t>
      </w:r>
      <w:r>
        <w:rPr>
          <w:i/>
          <w:iCs/>
        </w:rPr>
        <w:t>Biblical Archaeology Review</w:t>
      </w:r>
      <w:r>
        <w:t xml:space="preserve"> 32, no. 1 (2006): 16–27, 70.</w:t>
      </w:r>
    </w:p>
    <w:p w:rsidR="008E4B08" w:rsidRDefault="00C51EF0">
      <w:pPr>
        <w:spacing w:after="200"/>
        <w:ind w:left="720" w:hanging="720"/>
      </w:pPr>
      <w:proofErr w:type="spellStart"/>
      <w:r>
        <w:t>McRay</w:t>
      </w:r>
      <w:proofErr w:type="spellEnd"/>
      <w:r>
        <w:t xml:space="preserve">, John. </w:t>
      </w:r>
      <w:r>
        <w:rPr>
          <w:i/>
          <w:iCs/>
        </w:rPr>
        <w:t>Archaeology and the New Testament</w:t>
      </w:r>
      <w:r>
        <w:t>. Grand Rapids: Baker, 1991.</w:t>
      </w:r>
    </w:p>
    <w:p w:rsidR="008E4B08" w:rsidRDefault="00C51EF0">
      <w:pPr>
        <w:spacing w:after="200"/>
        <w:ind w:left="720" w:hanging="720"/>
      </w:pPr>
      <w:r>
        <w:t xml:space="preserve">Mendenhall, George E. "The Hebrew Conquest of Palestine." </w:t>
      </w:r>
      <w:r>
        <w:rPr>
          <w:i/>
          <w:iCs/>
        </w:rPr>
        <w:t>Biblical Archaeologist</w:t>
      </w:r>
      <w:r>
        <w:t xml:space="preserve"> 25 (1962): 66–87.</w:t>
      </w:r>
    </w:p>
    <w:p w:rsidR="008E4B08" w:rsidRDefault="00C51EF0">
      <w:pPr>
        <w:spacing w:after="200"/>
        <w:ind w:left="720" w:hanging="720"/>
      </w:pPr>
      <w:r>
        <w:t xml:space="preserve">———. </w:t>
      </w:r>
      <w:r>
        <w:rPr>
          <w:i/>
          <w:iCs/>
        </w:rPr>
        <w:t xml:space="preserve">Law and Covenant in Israel and the Ancient </w:t>
      </w:r>
      <w:proofErr w:type="gramStart"/>
      <w:r>
        <w:rPr>
          <w:i/>
          <w:iCs/>
        </w:rPr>
        <w:t>Near</w:t>
      </w:r>
      <w:proofErr w:type="gramEnd"/>
      <w:r>
        <w:rPr>
          <w:i/>
          <w:iCs/>
        </w:rPr>
        <w:t xml:space="preserve"> East</w:t>
      </w:r>
      <w:r>
        <w:t>. Pittsburgh: Biblical Colloquium, 1955.</w:t>
      </w:r>
    </w:p>
    <w:p w:rsidR="008E4B08" w:rsidRDefault="00C51EF0">
      <w:pPr>
        <w:spacing w:after="200"/>
        <w:ind w:left="720" w:hanging="720"/>
      </w:pPr>
      <w:r>
        <w:lastRenderedPageBreak/>
        <w:t xml:space="preserve">Millard, A. R., and D. J. Wiseman, eds. </w:t>
      </w:r>
      <w:r>
        <w:rPr>
          <w:i/>
          <w:iCs/>
        </w:rPr>
        <w:t>Essays on the Patriarchal Narratives</w:t>
      </w:r>
      <w:r>
        <w:t>. Leicester: Inter-Varsity Press, 1980.</w:t>
      </w:r>
    </w:p>
    <w:p w:rsidR="008E4B08" w:rsidRDefault="00C51EF0">
      <w:pPr>
        <w:spacing w:after="200"/>
        <w:ind w:left="720" w:hanging="720"/>
      </w:pPr>
      <w:r>
        <w:t xml:space="preserve">Monson, John. "The New 'Ain Dara Temple: Closest </w:t>
      </w:r>
      <w:proofErr w:type="spellStart"/>
      <w:r>
        <w:t>Solomonic</w:t>
      </w:r>
      <w:proofErr w:type="spellEnd"/>
      <w:r>
        <w:t xml:space="preserve"> Parallel." </w:t>
      </w:r>
      <w:r>
        <w:rPr>
          <w:i/>
          <w:iCs/>
        </w:rPr>
        <w:t>Biblical Archaeology Review</w:t>
      </w:r>
      <w:r>
        <w:t xml:space="preserve"> 26, no. 3 (2000): 20–35, 67.</w:t>
      </w:r>
    </w:p>
    <w:p w:rsidR="008E4B08" w:rsidRDefault="00C51EF0">
      <w:pPr>
        <w:spacing w:after="200"/>
        <w:ind w:left="720" w:hanging="720"/>
      </w:pPr>
      <w:proofErr w:type="spellStart"/>
      <w:r>
        <w:t>Moorey</w:t>
      </w:r>
      <w:proofErr w:type="spellEnd"/>
      <w:r>
        <w:t xml:space="preserve">, P. R. S. </w:t>
      </w:r>
      <w:r>
        <w:rPr>
          <w:i/>
          <w:iCs/>
        </w:rPr>
        <w:t>A Century of Biblical Archaeology</w:t>
      </w:r>
      <w:r>
        <w:t xml:space="preserve">. Cambridge: </w:t>
      </w:r>
      <w:proofErr w:type="spellStart"/>
      <w:r>
        <w:t>Lutterworth</w:t>
      </w:r>
      <w:proofErr w:type="spellEnd"/>
      <w:r>
        <w:t>, 1991.</w:t>
      </w:r>
    </w:p>
    <w:p w:rsidR="008E4B08" w:rsidRDefault="00C51EF0">
      <w:pPr>
        <w:spacing w:after="200"/>
        <w:ind w:left="720" w:hanging="720"/>
      </w:pPr>
      <w:r>
        <w:t xml:space="preserve">Moran, William L., ed. and </w:t>
      </w:r>
      <w:proofErr w:type="gramStart"/>
      <w:r>
        <w:t>trans</w:t>
      </w:r>
      <w:proofErr w:type="gramEnd"/>
      <w:r>
        <w:t xml:space="preserve">. </w:t>
      </w:r>
      <w:r>
        <w:rPr>
          <w:i/>
          <w:iCs/>
        </w:rPr>
        <w:t>The Amarna Letters</w:t>
      </w:r>
      <w:r>
        <w:t>. Baltimore: Johns Hopkins University Press, 1992.</w:t>
      </w:r>
    </w:p>
    <w:p w:rsidR="008E4B08" w:rsidRDefault="00C51EF0">
      <w:pPr>
        <w:spacing w:after="200"/>
        <w:ind w:left="720" w:hanging="720"/>
      </w:pPr>
      <w:r>
        <w:t xml:space="preserve">Moss, Candida R., and Joel S. Baden. </w:t>
      </w:r>
      <w:r>
        <w:rPr>
          <w:i/>
          <w:iCs/>
        </w:rPr>
        <w:t>Bible Nation: The United States of Hobby Lobby</w:t>
      </w:r>
      <w:r>
        <w:t>. Princeton: Princeton University Press, 2017.</w:t>
      </w:r>
    </w:p>
    <w:p w:rsidR="008E4B08" w:rsidRDefault="00C51EF0">
      <w:pPr>
        <w:spacing w:after="200"/>
        <w:ind w:left="720" w:hanging="720"/>
      </w:pPr>
      <w:r>
        <w:t xml:space="preserve">Murphy-O'Connor, Jerome. </w:t>
      </w:r>
      <w:r>
        <w:rPr>
          <w:i/>
          <w:iCs/>
        </w:rPr>
        <w:t>St. Paul's Corinth: Texts and Archaeology</w:t>
      </w:r>
      <w:r>
        <w:t>. 3rd ed. Collegeville, MN: Liturgical Press, 2002.</w:t>
      </w:r>
    </w:p>
    <w:p w:rsidR="008E4B08" w:rsidRDefault="00C51EF0">
      <w:pPr>
        <w:spacing w:after="200"/>
        <w:ind w:left="720" w:hanging="720"/>
      </w:pPr>
      <w:proofErr w:type="spellStart"/>
      <w:r>
        <w:t>Nissinen</w:t>
      </w:r>
      <w:proofErr w:type="spellEnd"/>
      <w:r>
        <w:t xml:space="preserve">, </w:t>
      </w:r>
      <w:proofErr w:type="spellStart"/>
      <w:r>
        <w:t>Martti</w:t>
      </w:r>
      <w:proofErr w:type="spellEnd"/>
      <w:r>
        <w:t xml:space="preserve">. </w:t>
      </w:r>
      <w:r>
        <w:rPr>
          <w:i/>
          <w:iCs/>
        </w:rPr>
        <w:t xml:space="preserve">Prophets and Prophecy in the Ancient </w:t>
      </w:r>
      <w:proofErr w:type="gramStart"/>
      <w:r>
        <w:rPr>
          <w:i/>
          <w:iCs/>
        </w:rPr>
        <w:t>Near</w:t>
      </w:r>
      <w:proofErr w:type="gramEnd"/>
      <w:r>
        <w:rPr>
          <w:i/>
          <w:iCs/>
        </w:rPr>
        <w:t xml:space="preserve"> East</w:t>
      </w:r>
      <w:r>
        <w:t>. Writings from the Ancient World 12. Atlanta: Society of Biblical Literature, 2003.</w:t>
      </w:r>
    </w:p>
    <w:p w:rsidR="008E4B08" w:rsidRDefault="00C51EF0">
      <w:pPr>
        <w:spacing w:after="200"/>
        <w:ind w:left="720" w:hanging="720"/>
      </w:pPr>
      <w:r>
        <w:t xml:space="preserve">Oden, Thomas C. </w:t>
      </w:r>
      <w:r>
        <w:rPr>
          <w:i/>
          <w:iCs/>
        </w:rPr>
        <w:t>How Africa Shaped the Christian Mind: Rediscovering the African Seedbed of Western Christianity</w:t>
      </w:r>
      <w:r>
        <w:t>. Downers Grove, IL: IVP Academic, 2007.</w:t>
      </w:r>
    </w:p>
    <w:p w:rsidR="008E4B08" w:rsidRDefault="00C51EF0">
      <w:pPr>
        <w:spacing w:after="200"/>
        <w:ind w:left="720" w:hanging="720"/>
      </w:pPr>
      <w:r>
        <w:t xml:space="preserve">Pearce, Laurie E., and Cornelia </w:t>
      </w:r>
      <w:proofErr w:type="spellStart"/>
      <w:r>
        <w:t>Wunsch</w:t>
      </w:r>
      <w:proofErr w:type="spellEnd"/>
      <w:r>
        <w:t xml:space="preserve">. </w:t>
      </w:r>
      <w:r>
        <w:rPr>
          <w:i/>
          <w:iCs/>
        </w:rPr>
        <w:t xml:space="preserve">Documents of Judean Exiles and West Semites in Babylonia in the Collection of David </w:t>
      </w:r>
      <w:proofErr w:type="spellStart"/>
      <w:r>
        <w:rPr>
          <w:i/>
          <w:iCs/>
        </w:rPr>
        <w:t>Sofer</w:t>
      </w:r>
      <w:proofErr w:type="spellEnd"/>
      <w:r>
        <w:t>. Bethesda, MD: CDL Press, 2014.</w:t>
      </w:r>
    </w:p>
    <w:p w:rsidR="008E4B08" w:rsidRDefault="00C51EF0">
      <w:pPr>
        <w:spacing w:after="200"/>
        <w:ind w:left="720" w:hanging="720"/>
      </w:pPr>
      <w:proofErr w:type="spellStart"/>
      <w:r>
        <w:t>Pettinato</w:t>
      </w:r>
      <w:proofErr w:type="spellEnd"/>
      <w:r>
        <w:t xml:space="preserve">, Giovanni. </w:t>
      </w:r>
      <w:r>
        <w:rPr>
          <w:i/>
          <w:iCs/>
        </w:rPr>
        <w:t>The Archives of Ebla: An Empire Inscribed in Clay</w:t>
      </w:r>
      <w:r>
        <w:t>. Garden City, NY: Doubleday, 1981.</w:t>
      </w:r>
    </w:p>
    <w:p w:rsidR="008E4B08" w:rsidRDefault="00C51EF0">
      <w:pPr>
        <w:spacing w:after="200"/>
        <w:ind w:left="720" w:hanging="720"/>
      </w:pPr>
      <w:proofErr w:type="spellStart"/>
      <w:r>
        <w:t>Porten</w:t>
      </w:r>
      <w:proofErr w:type="spellEnd"/>
      <w:r>
        <w:t xml:space="preserve">, Bezalel. </w:t>
      </w:r>
      <w:r>
        <w:rPr>
          <w:i/>
          <w:iCs/>
        </w:rPr>
        <w:t>Archives from Elephantine: The Life of an Ancient Jewish Military Colony</w:t>
      </w:r>
      <w:r>
        <w:t>. Berkeley: University of California Press, 1968.</w:t>
      </w:r>
    </w:p>
    <w:p w:rsidR="008E4B08" w:rsidRDefault="00C51EF0">
      <w:pPr>
        <w:spacing w:after="200"/>
        <w:ind w:left="720" w:hanging="720"/>
      </w:pPr>
      <w:r>
        <w:t xml:space="preserve">Pritchard, James B., ed. </w:t>
      </w:r>
      <w:r>
        <w:rPr>
          <w:i/>
          <w:iCs/>
        </w:rPr>
        <w:t xml:space="preserve">Ancient </w:t>
      </w:r>
      <w:proofErr w:type="gramStart"/>
      <w:r>
        <w:rPr>
          <w:i/>
          <w:iCs/>
        </w:rPr>
        <w:t>Near</w:t>
      </w:r>
      <w:proofErr w:type="gramEnd"/>
      <w:r>
        <w:rPr>
          <w:i/>
          <w:iCs/>
        </w:rPr>
        <w:t xml:space="preserve"> Eastern Texts Relating to the Old Testament</w:t>
      </w:r>
      <w:r>
        <w:t>. 3rd ed. with supplement. Princeton: Princeton University Press, 1969.</w:t>
      </w:r>
    </w:p>
    <w:p w:rsidR="008E4B08" w:rsidRDefault="00C51EF0">
      <w:pPr>
        <w:spacing w:after="200"/>
        <w:ind w:left="720" w:hanging="720"/>
      </w:pPr>
      <w:proofErr w:type="spellStart"/>
      <w:r>
        <w:t>Provan</w:t>
      </w:r>
      <w:proofErr w:type="spellEnd"/>
      <w:r>
        <w:t xml:space="preserve">, Iain, V. Philips Long, and </w:t>
      </w:r>
      <w:proofErr w:type="spellStart"/>
      <w:r>
        <w:t>Tremper</w:t>
      </w:r>
      <w:proofErr w:type="spellEnd"/>
      <w:r>
        <w:t xml:space="preserve"> Longman III. </w:t>
      </w:r>
      <w:r>
        <w:rPr>
          <w:i/>
          <w:iCs/>
        </w:rPr>
        <w:t>A Biblical History of Israel</w:t>
      </w:r>
      <w:r>
        <w:t>. 2nd ed. Louisville: Westminster John Knox, 2015.</w:t>
      </w:r>
    </w:p>
    <w:p w:rsidR="008E4B08" w:rsidRDefault="00C51EF0">
      <w:pPr>
        <w:spacing w:after="200"/>
        <w:ind w:left="720" w:hanging="720"/>
      </w:pPr>
      <w:r>
        <w:t xml:space="preserve">Ramsay, W. M. </w:t>
      </w:r>
      <w:r>
        <w:rPr>
          <w:i/>
          <w:iCs/>
        </w:rPr>
        <w:t xml:space="preserve">St. Paul the </w:t>
      </w:r>
      <w:proofErr w:type="spellStart"/>
      <w:r>
        <w:rPr>
          <w:i/>
          <w:iCs/>
        </w:rPr>
        <w:t>Traveller</w:t>
      </w:r>
      <w:proofErr w:type="spellEnd"/>
      <w:r>
        <w:rPr>
          <w:i/>
          <w:iCs/>
        </w:rPr>
        <w:t xml:space="preserve"> and the Roman Citizen</w:t>
      </w:r>
      <w:r>
        <w:t>. London: Hodder &amp; Stoughton, 1895.</w:t>
      </w:r>
    </w:p>
    <w:p w:rsidR="008E4B08" w:rsidRDefault="00C51EF0">
      <w:pPr>
        <w:spacing w:after="200"/>
        <w:ind w:left="720" w:hanging="720"/>
      </w:pPr>
      <w:r>
        <w:t xml:space="preserve">Redford, Donald B. </w:t>
      </w:r>
      <w:r>
        <w:rPr>
          <w:i/>
          <w:iCs/>
        </w:rPr>
        <w:t>A Study of the Biblical Story of Joseph (Genesis 37–50)</w:t>
      </w:r>
      <w:r>
        <w:t xml:space="preserve">. </w:t>
      </w:r>
      <w:proofErr w:type="spellStart"/>
      <w:r>
        <w:t>VTSup</w:t>
      </w:r>
      <w:proofErr w:type="spellEnd"/>
      <w:r>
        <w:t xml:space="preserve"> 20. Leiden: Brill, 1970.</w:t>
      </w:r>
    </w:p>
    <w:p w:rsidR="008E4B08" w:rsidRDefault="00C51EF0">
      <w:pPr>
        <w:spacing w:after="200"/>
        <w:ind w:left="720" w:hanging="720"/>
      </w:pPr>
      <w:r>
        <w:t xml:space="preserve">Reed, Jonathan L. </w:t>
      </w:r>
      <w:r>
        <w:rPr>
          <w:i/>
          <w:iCs/>
        </w:rPr>
        <w:t>Archaeology and the Galilean Jesus: A Re-examination of the Evidence</w:t>
      </w:r>
      <w:r>
        <w:t>. Harrisburg, PA: Trinity Press International, 2000.</w:t>
      </w:r>
    </w:p>
    <w:p w:rsidR="008E4B08" w:rsidRDefault="00C51EF0">
      <w:pPr>
        <w:spacing w:after="200"/>
        <w:ind w:left="720" w:hanging="720"/>
      </w:pPr>
      <w:r>
        <w:t xml:space="preserve">Reich, Ronny. "Caiaphas Name Inscribed on Bone Boxes." </w:t>
      </w:r>
      <w:r>
        <w:rPr>
          <w:i/>
          <w:iCs/>
        </w:rPr>
        <w:t>Biblical Archaeology Review</w:t>
      </w:r>
      <w:r>
        <w:t xml:space="preserve"> 18, no. 5 (1992): 38–44, 76.</w:t>
      </w:r>
    </w:p>
    <w:p w:rsidR="008E4B08" w:rsidRDefault="00C51EF0">
      <w:pPr>
        <w:spacing w:after="200"/>
        <w:ind w:left="720" w:hanging="720"/>
      </w:pPr>
      <w:r>
        <w:t xml:space="preserve">Renfrew, Colin. </w:t>
      </w:r>
      <w:r>
        <w:rPr>
          <w:i/>
          <w:iCs/>
        </w:rPr>
        <w:t>Loot, Legitimacy and Ownership: The Ethical Crisis in Archaeology</w:t>
      </w:r>
      <w:r>
        <w:t>. London: Duckworth, 2000.</w:t>
      </w:r>
    </w:p>
    <w:p w:rsidR="008E4B08" w:rsidRDefault="00C51EF0">
      <w:pPr>
        <w:spacing w:after="200"/>
        <w:ind w:left="720" w:hanging="720"/>
      </w:pPr>
      <w:r>
        <w:t xml:space="preserve">Renfrew, Colin, and Paul </w:t>
      </w:r>
      <w:proofErr w:type="spellStart"/>
      <w:r>
        <w:t>Bahn</w:t>
      </w:r>
      <w:proofErr w:type="spellEnd"/>
      <w:r>
        <w:t xml:space="preserve">. </w:t>
      </w:r>
      <w:r>
        <w:rPr>
          <w:i/>
          <w:iCs/>
        </w:rPr>
        <w:t>Archaeology: Theories, Methods and Practice</w:t>
      </w:r>
      <w:r>
        <w:t>. 7th ed. London: Thames &amp; Hudson, 2016.</w:t>
      </w:r>
    </w:p>
    <w:p w:rsidR="008E4B08" w:rsidRDefault="00C51EF0">
      <w:pPr>
        <w:spacing w:after="200"/>
        <w:ind w:left="720" w:hanging="720"/>
      </w:pPr>
      <w:r>
        <w:lastRenderedPageBreak/>
        <w:t xml:space="preserve">Robinson, Edward, and Eli Smith. </w:t>
      </w:r>
      <w:r>
        <w:rPr>
          <w:i/>
          <w:iCs/>
        </w:rPr>
        <w:t xml:space="preserve">Biblical Researches in Palestine, Mount Sinai and Arabia </w:t>
      </w:r>
      <w:proofErr w:type="spellStart"/>
      <w:r>
        <w:rPr>
          <w:i/>
          <w:iCs/>
        </w:rPr>
        <w:t>Petraea</w:t>
      </w:r>
      <w:proofErr w:type="spellEnd"/>
      <w:r>
        <w:t>. 3 vols. Boston: Crocker &amp; Brewster, 1841.</w:t>
      </w:r>
    </w:p>
    <w:p w:rsidR="008E4B08" w:rsidRDefault="00C51EF0">
      <w:pPr>
        <w:spacing w:after="200"/>
        <w:ind w:left="720" w:hanging="720"/>
      </w:pPr>
      <w:proofErr w:type="spellStart"/>
      <w:r>
        <w:t>Sabar</w:t>
      </w:r>
      <w:proofErr w:type="spellEnd"/>
      <w:r>
        <w:t xml:space="preserve">, Ariel. </w:t>
      </w:r>
      <w:r>
        <w:rPr>
          <w:i/>
          <w:iCs/>
        </w:rPr>
        <w:t>Veritas: A Harvard Professor, a Con Man and the Gospel of Jesus's Wife</w:t>
      </w:r>
      <w:r>
        <w:t>. New York: Doubleday, 2020.</w:t>
      </w:r>
    </w:p>
    <w:p w:rsidR="008E4B08" w:rsidRDefault="00C51EF0">
      <w:pPr>
        <w:spacing w:after="200"/>
        <w:ind w:left="720" w:hanging="720"/>
      </w:pPr>
      <w:proofErr w:type="spellStart"/>
      <w:r>
        <w:t>Sandmel</w:t>
      </w:r>
      <w:proofErr w:type="spellEnd"/>
      <w:r>
        <w:t>, Samuel. "</w:t>
      </w:r>
      <w:proofErr w:type="spellStart"/>
      <w:r>
        <w:t>Parallelomania</w:t>
      </w:r>
      <w:proofErr w:type="spellEnd"/>
      <w:r>
        <w:t xml:space="preserve">." </w:t>
      </w:r>
      <w:r>
        <w:rPr>
          <w:i/>
          <w:iCs/>
        </w:rPr>
        <w:t>Journal of Biblical Literature</w:t>
      </w:r>
      <w:r>
        <w:t xml:space="preserve"> 81 (1962): 1–13.</w:t>
      </w:r>
    </w:p>
    <w:p w:rsidR="008E4B08" w:rsidRDefault="00C51EF0">
      <w:pPr>
        <w:spacing w:after="200"/>
        <w:ind w:left="720" w:hanging="720"/>
      </w:pPr>
      <w:r>
        <w:t xml:space="preserve">Sapir-Hen, Lidar, and </w:t>
      </w:r>
      <w:proofErr w:type="spellStart"/>
      <w:r>
        <w:t>Erez</w:t>
      </w:r>
      <w:proofErr w:type="spellEnd"/>
      <w:r>
        <w:t xml:space="preserve"> Ben-Yosef. "The Introduction of Domestic Camels to the Southern Levant: Evidence from the </w:t>
      </w:r>
      <w:proofErr w:type="spellStart"/>
      <w:r>
        <w:t>Aravah</w:t>
      </w:r>
      <w:proofErr w:type="spellEnd"/>
      <w:r>
        <w:t xml:space="preserve"> Valley." </w:t>
      </w:r>
      <w:r>
        <w:rPr>
          <w:i/>
          <w:iCs/>
        </w:rPr>
        <w:t>Tel Aviv</w:t>
      </w:r>
      <w:r>
        <w:t xml:space="preserve"> 40 (2013): 277–85.</w:t>
      </w:r>
    </w:p>
    <w:p w:rsidR="008E4B08" w:rsidRDefault="00C51EF0">
      <w:pPr>
        <w:spacing w:after="200"/>
        <w:ind w:left="720" w:hanging="720"/>
      </w:pPr>
      <w:r>
        <w:t xml:space="preserve">Selman, M. J. "Comparative Customs and the Patriarchal Age." In </w:t>
      </w:r>
      <w:r>
        <w:rPr>
          <w:i/>
          <w:iCs/>
        </w:rPr>
        <w:t>Essays on the Patriarchal Narratives</w:t>
      </w:r>
      <w:r>
        <w:t>, edited by A. R. Millard and D. J. Wiseman, 91–139. Leicester: Inter-Varsity Press, 1980.</w:t>
      </w:r>
    </w:p>
    <w:p w:rsidR="008E4B08" w:rsidRDefault="00C51EF0">
      <w:pPr>
        <w:spacing w:after="200"/>
        <w:ind w:left="720" w:hanging="720"/>
      </w:pPr>
      <w:r>
        <w:t xml:space="preserve">Shanks, Hershel, and Ben Witherington III. </w:t>
      </w:r>
      <w:r>
        <w:rPr>
          <w:i/>
          <w:iCs/>
        </w:rPr>
        <w:t>The Brother of Jesus: The Dramatic Story and Meaning of the First Archaeological Link to Jesus and His Family</w:t>
      </w:r>
      <w:r>
        <w:t xml:space="preserve">. San Francisco: </w:t>
      </w:r>
      <w:proofErr w:type="spellStart"/>
      <w:r>
        <w:t>HarperSanFrancisco</w:t>
      </w:r>
      <w:proofErr w:type="spellEnd"/>
      <w:r>
        <w:t>, 2003.</w:t>
      </w:r>
    </w:p>
    <w:p w:rsidR="008E4B08" w:rsidRDefault="00C51EF0">
      <w:pPr>
        <w:spacing w:after="200"/>
        <w:ind w:left="720" w:hanging="720"/>
      </w:pPr>
      <w:r>
        <w:t xml:space="preserve">Silberman, Neil Asher. </w:t>
      </w:r>
      <w:r>
        <w:rPr>
          <w:i/>
          <w:iCs/>
        </w:rPr>
        <w:t>Digging for God and Country: Exploration, Archaeology, and the Secret Struggle for the Holy Land, 1799–1917</w:t>
      </w:r>
      <w:r>
        <w:t>. New York: Knopf, 1982.</w:t>
      </w:r>
    </w:p>
    <w:p w:rsidR="008E4B08" w:rsidRDefault="00C51EF0">
      <w:pPr>
        <w:spacing w:after="200"/>
        <w:ind w:left="720" w:hanging="720"/>
      </w:pPr>
      <w:r>
        <w:t xml:space="preserve">Stern, Ephraim. </w:t>
      </w:r>
      <w:r>
        <w:rPr>
          <w:i/>
          <w:iCs/>
        </w:rPr>
        <w:t>Archaeology of the Land of the Bible</w:t>
      </w:r>
      <w:r>
        <w:t xml:space="preserve">. Vol. 2, </w:t>
      </w:r>
      <w:proofErr w:type="gramStart"/>
      <w:r>
        <w:rPr>
          <w:i/>
          <w:iCs/>
        </w:rPr>
        <w:t>The</w:t>
      </w:r>
      <w:proofErr w:type="gramEnd"/>
      <w:r>
        <w:rPr>
          <w:i/>
          <w:iCs/>
        </w:rPr>
        <w:t xml:space="preserve"> Assyrian, Babylonian, and Persian Periods, 732–332 B.C.E.</w:t>
      </w:r>
      <w:r>
        <w:t xml:space="preserve"> New York: Doubleday, 2001.</w:t>
      </w:r>
    </w:p>
    <w:p w:rsidR="008E4B08" w:rsidRDefault="00C51EF0">
      <w:pPr>
        <w:spacing w:after="200"/>
        <w:ind w:left="720" w:hanging="720"/>
      </w:pPr>
      <w:r>
        <w:t xml:space="preserve">Strange, James F., and Hershel Shanks. "Has the House Where Jesus Stayed in Capernaum Been Found?" </w:t>
      </w:r>
      <w:r>
        <w:rPr>
          <w:i/>
          <w:iCs/>
        </w:rPr>
        <w:t>Biblical Archaeology Review</w:t>
      </w:r>
      <w:r>
        <w:t xml:space="preserve"> 8, no. 6 (1982): 26–37.</w:t>
      </w:r>
    </w:p>
    <w:p w:rsidR="008E4B08" w:rsidRDefault="00C51EF0">
      <w:pPr>
        <w:spacing w:after="200"/>
        <w:ind w:left="720" w:hanging="720"/>
      </w:pPr>
      <w:r>
        <w:t xml:space="preserve">Thompson, Thomas L. </w:t>
      </w:r>
      <w:r>
        <w:rPr>
          <w:i/>
          <w:iCs/>
        </w:rPr>
        <w:t>The Historicity of the Patriarchal Narratives: The Quest for the Historical Abraham</w:t>
      </w:r>
      <w:r>
        <w:t xml:space="preserve">. Berlin: de </w:t>
      </w:r>
      <w:proofErr w:type="spellStart"/>
      <w:r>
        <w:t>Gruyter</w:t>
      </w:r>
      <w:proofErr w:type="spellEnd"/>
      <w:r>
        <w:t>, 1974.</w:t>
      </w:r>
    </w:p>
    <w:p w:rsidR="008E4B08" w:rsidRDefault="00C51EF0">
      <w:pPr>
        <w:spacing w:after="200"/>
        <w:ind w:left="720" w:hanging="720"/>
      </w:pPr>
      <w:r>
        <w:t xml:space="preserve">Tov, Emanuel. </w:t>
      </w:r>
      <w:r>
        <w:rPr>
          <w:i/>
          <w:iCs/>
        </w:rPr>
        <w:t>Textual Criticism of the Hebrew Bible</w:t>
      </w:r>
      <w:r>
        <w:t>. 3rd ed. Minneapolis: Fortress, 2012.</w:t>
      </w:r>
    </w:p>
    <w:p w:rsidR="008E4B08" w:rsidRDefault="00C51EF0">
      <w:pPr>
        <w:spacing w:after="200"/>
        <w:ind w:left="720" w:hanging="720"/>
      </w:pPr>
      <w:proofErr w:type="spellStart"/>
      <w:r>
        <w:t>Trebilco</w:t>
      </w:r>
      <w:proofErr w:type="spellEnd"/>
      <w:r>
        <w:t xml:space="preserve">, Paul. </w:t>
      </w:r>
      <w:r>
        <w:rPr>
          <w:i/>
          <w:iCs/>
        </w:rPr>
        <w:t>The Early Christians in Ephesus from Paul to Ignatius</w:t>
      </w:r>
      <w:r>
        <w:t xml:space="preserve">. WUNT 166. </w:t>
      </w:r>
      <w:proofErr w:type="spellStart"/>
      <w:r>
        <w:t>Tübingen</w:t>
      </w:r>
      <w:proofErr w:type="spellEnd"/>
      <w:r>
        <w:t xml:space="preserve">: Mohr </w:t>
      </w:r>
      <w:proofErr w:type="spellStart"/>
      <w:r>
        <w:t>Siebeck</w:t>
      </w:r>
      <w:proofErr w:type="spellEnd"/>
      <w:r>
        <w:t>, 2004.</w:t>
      </w:r>
    </w:p>
    <w:p w:rsidR="008E4B08" w:rsidRDefault="00C51EF0">
      <w:pPr>
        <w:spacing w:after="200"/>
        <w:ind w:left="720" w:hanging="720"/>
      </w:pPr>
      <w:proofErr w:type="spellStart"/>
      <w:r>
        <w:t>Tzaferis</w:t>
      </w:r>
      <w:proofErr w:type="spellEnd"/>
      <w:r>
        <w:t xml:space="preserve">, </w:t>
      </w:r>
      <w:proofErr w:type="spellStart"/>
      <w:r>
        <w:t>Vassilios</w:t>
      </w:r>
      <w:proofErr w:type="spellEnd"/>
      <w:r>
        <w:t xml:space="preserve">. "Jewish Tombs at and near </w:t>
      </w:r>
      <w:proofErr w:type="spellStart"/>
      <w:r>
        <w:t>Giv'at</w:t>
      </w:r>
      <w:proofErr w:type="spellEnd"/>
      <w:r>
        <w:t xml:space="preserve"> ha-</w:t>
      </w:r>
      <w:proofErr w:type="spellStart"/>
      <w:r>
        <w:t>Mivtar</w:t>
      </w:r>
      <w:proofErr w:type="spellEnd"/>
      <w:r>
        <w:t xml:space="preserve">, Jerusalem." </w:t>
      </w:r>
      <w:r>
        <w:rPr>
          <w:i/>
          <w:iCs/>
        </w:rPr>
        <w:t>Israel Exploration Journal</w:t>
      </w:r>
      <w:r>
        <w:t xml:space="preserve"> 20 (1970): 18–32.</w:t>
      </w:r>
    </w:p>
    <w:p w:rsidR="008E4B08" w:rsidRDefault="00C51EF0">
      <w:pPr>
        <w:spacing w:after="200"/>
        <w:ind w:left="720" w:hanging="720"/>
      </w:pPr>
      <w:proofErr w:type="spellStart"/>
      <w:r>
        <w:t>Ussishkin</w:t>
      </w:r>
      <w:proofErr w:type="spellEnd"/>
      <w:r>
        <w:t xml:space="preserve">, David. </w:t>
      </w:r>
      <w:r>
        <w:rPr>
          <w:i/>
          <w:iCs/>
        </w:rPr>
        <w:t>The Conquest of Lachish by Sennacherib</w:t>
      </w:r>
      <w:r>
        <w:t>. Tel Aviv: Tel Aviv University, Institute of Archaeology, 1982.</w:t>
      </w:r>
    </w:p>
    <w:p w:rsidR="008E4B08" w:rsidRDefault="00C51EF0">
      <w:pPr>
        <w:spacing w:after="200"/>
        <w:ind w:left="720" w:hanging="720"/>
      </w:pPr>
      <w:proofErr w:type="spellStart"/>
      <w:r>
        <w:t>VanderKam</w:t>
      </w:r>
      <w:proofErr w:type="spellEnd"/>
      <w:r>
        <w:t xml:space="preserve">, James C. </w:t>
      </w:r>
      <w:r>
        <w:rPr>
          <w:i/>
          <w:iCs/>
        </w:rPr>
        <w:t>The Dead Sea Scrolls Today</w:t>
      </w:r>
      <w:r>
        <w:t>. 2nd ed. Grand Rapids: Eerdmans, 2010.</w:t>
      </w:r>
    </w:p>
    <w:p w:rsidR="008E4B08" w:rsidRDefault="00C51EF0">
      <w:pPr>
        <w:spacing w:after="200"/>
        <w:ind w:left="720" w:hanging="720"/>
      </w:pPr>
      <w:proofErr w:type="spellStart"/>
      <w:r>
        <w:t>VanderKam</w:t>
      </w:r>
      <w:proofErr w:type="spellEnd"/>
      <w:r>
        <w:t xml:space="preserve">, James, and Peter Flint. </w:t>
      </w:r>
      <w:r>
        <w:rPr>
          <w:i/>
          <w:iCs/>
        </w:rPr>
        <w:t>The Meaning of the Dead Sea Scrolls</w:t>
      </w:r>
      <w:r>
        <w:t xml:space="preserve">. San Francisco: </w:t>
      </w:r>
      <w:proofErr w:type="spellStart"/>
      <w:r>
        <w:t>HarperSanFrancisco</w:t>
      </w:r>
      <w:proofErr w:type="spellEnd"/>
      <w:r>
        <w:t>, 2002.</w:t>
      </w:r>
    </w:p>
    <w:p w:rsidR="008E4B08" w:rsidRDefault="00C51EF0">
      <w:pPr>
        <w:spacing w:after="200"/>
        <w:ind w:left="720" w:hanging="720"/>
      </w:pPr>
      <w:r>
        <w:t xml:space="preserve">Van </w:t>
      </w:r>
      <w:proofErr w:type="spellStart"/>
      <w:r>
        <w:t>Seters</w:t>
      </w:r>
      <w:proofErr w:type="spellEnd"/>
      <w:r>
        <w:t xml:space="preserve">, John. </w:t>
      </w:r>
      <w:r>
        <w:rPr>
          <w:i/>
          <w:iCs/>
        </w:rPr>
        <w:t>Abraham in History and Tradition</w:t>
      </w:r>
      <w:r>
        <w:t>. New Haven: Yale University Press, 1975.</w:t>
      </w:r>
    </w:p>
    <w:p w:rsidR="008E4B08" w:rsidRDefault="00C51EF0">
      <w:pPr>
        <w:spacing w:after="200"/>
        <w:ind w:left="720" w:hanging="720"/>
      </w:pPr>
      <w:proofErr w:type="spellStart"/>
      <w:r>
        <w:t>Vansina</w:t>
      </w:r>
      <w:proofErr w:type="spellEnd"/>
      <w:r>
        <w:t xml:space="preserve">, Jan. </w:t>
      </w:r>
      <w:r>
        <w:rPr>
          <w:i/>
          <w:iCs/>
        </w:rPr>
        <w:t>Oral Tradition as History</w:t>
      </w:r>
      <w:r>
        <w:t>. Madison: University of Wisconsin Press, 1985.</w:t>
      </w:r>
    </w:p>
    <w:p w:rsidR="008E4B08" w:rsidRDefault="00C51EF0">
      <w:pPr>
        <w:spacing w:after="200"/>
        <w:ind w:left="720" w:hanging="720"/>
      </w:pPr>
      <w:proofErr w:type="spellStart"/>
      <w:r>
        <w:t>Wachsmann</w:t>
      </w:r>
      <w:proofErr w:type="spellEnd"/>
      <w:r>
        <w:t xml:space="preserve">, Shelley. </w:t>
      </w:r>
      <w:r>
        <w:rPr>
          <w:i/>
          <w:iCs/>
        </w:rPr>
        <w:t>The Sea of Galilee Boat: A 2000-Year-Old Discovery from the Sea of Legends</w:t>
      </w:r>
      <w:r>
        <w:t>. New York: Plenum, 1995.</w:t>
      </w:r>
    </w:p>
    <w:p w:rsidR="008E4B08" w:rsidRDefault="00C51EF0">
      <w:pPr>
        <w:spacing w:after="200"/>
        <w:ind w:left="720" w:hanging="720"/>
      </w:pPr>
      <w:r>
        <w:lastRenderedPageBreak/>
        <w:t xml:space="preserve">Walton, John H. </w:t>
      </w:r>
      <w:r>
        <w:rPr>
          <w:i/>
          <w:iCs/>
        </w:rPr>
        <w:t>Ancient Near Eastern Thought and the Old Testament: Introducing the Conceptual World of the Hebrew Bible</w:t>
      </w:r>
      <w:r>
        <w:t>. 2nd ed. Grand Rapids: Baker Academic, 2018.</w:t>
      </w:r>
    </w:p>
    <w:p w:rsidR="008E4B08" w:rsidRDefault="00C51EF0">
      <w:pPr>
        <w:spacing w:after="200"/>
        <w:ind w:left="720" w:hanging="720"/>
      </w:pPr>
      <w:proofErr w:type="spellStart"/>
      <w:r>
        <w:t>Whitelam</w:t>
      </w:r>
      <w:proofErr w:type="spellEnd"/>
      <w:r>
        <w:t xml:space="preserve">, Keith W. </w:t>
      </w:r>
      <w:r>
        <w:rPr>
          <w:i/>
          <w:iCs/>
        </w:rPr>
        <w:t>The Invention of Ancient Israel: The Silencing of Palestinian History</w:t>
      </w:r>
      <w:r>
        <w:t>. London: Routledge, 1996.</w:t>
      </w:r>
    </w:p>
    <w:p w:rsidR="008E4B08" w:rsidRDefault="00C51EF0">
      <w:pPr>
        <w:spacing w:after="200"/>
        <w:ind w:left="720" w:hanging="720"/>
      </w:pPr>
      <w:r>
        <w:t xml:space="preserve">Wood, Bryant G. "Did the Israelites Conquer Jericho? A New Look at the Archaeological Evidence." </w:t>
      </w:r>
      <w:r>
        <w:rPr>
          <w:i/>
          <w:iCs/>
        </w:rPr>
        <w:t>Biblical Archaeology Review</w:t>
      </w:r>
      <w:r>
        <w:t xml:space="preserve"> 16, no. 2 (1990): 44–58.</w:t>
      </w:r>
    </w:p>
    <w:p w:rsidR="008E4B08" w:rsidRDefault="00C51EF0">
      <w:pPr>
        <w:spacing w:after="200"/>
        <w:ind w:left="720" w:hanging="720"/>
      </w:pPr>
      <w:r>
        <w:t xml:space="preserve">Wright, G. Ernest. </w:t>
      </w:r>
      <w:r>
        <w:rPr>
          <w:i/>
          <w:iCs/>
        </w:rPr>
        <w:t>Biblical Archaeology</w:t>
      </w:r>
      <w:r>
        <w:t xml:space="preserve">. Rev. </w:t>
      </w:r>
      <w:proofErr w:type="gramStart"/>
      <w:r>
        <w:t>ed</w:t>
      </w:r>
      <w:proofErr w:type="gramEnd"/>
      <w:r>
        <w:t>. Philadelphia: Westminster, 1962.</w:t>
      </w:r>
    </w:p>
    <w:p w:rsidR="008E4B08" w:rsidRDefault="00C51EF0">
      <w:pPr>
        <w:spacing w:after="200"/>
        <w:ind w:left="720" w:hanging="720"/>
      </w:pPr>
      <w:r>
        <w:t xml:space="preserve">———. </w:t>
      </w:r>
      <w:r>
        <w:rPr>
          <w:i/>
          <w:iCs/>
        </w:rPr>
        <w:t>God Who Acts: Biblical Theology as Recital</w:t>
      </w:r>
      <w:r>
        <w:t>. London: SCM, 1952.</w:t>
      </w:r>
    </w:p>
    <w:p w:rsidR="008E4B08" w:rsidRDefault="00C51EF0">
      <w:pPr>
        <w:spacing w:after="200"/>
        <w:ind w:left="720" w:hanging="720"/>
      </w:pPr>
      <w:proofErr w:type="spellStart"/>
      <w:r>
        <w:t>Yadin</w:t>
      </w:r>
      <w:proofErr w:type="spellEnd"/>
      <w:r>
        <w:t xml:space="preserve">, </w:t>
      </w:r>
      <w:proofErr w:type="spellStart"/>
      <w:r>
        <w:t>Yigael</w:t>
      </w:r>
      <w:proofErr w:type="spellEnd"/>
      <w:r>
        <w:t xml:space="preserve">. "Solomon's City Wall and Gate at Gezer." </w:t>
      </w:r>
      <w:r>
        <w:rPr>
          <w:i/>
          <w:iCs/>
        </w:rPr>
        <w:t>Israel Exploration Journal</w:t>
      </w:r>
      <w:r>
        <w:t xml:space="preserve"> 8 (1958): 80–86.</w:t>
      </w:r>
    </w:p>
    <w:p w:rsidR="008E4B08" w:rsidRDefault="00C51EF0">
      <w:pPr>
        <w:spacing w:after="200"/>
        <w:ind w:left="720" w:hanging="720"/>
      </w:pPr>
      <w:r>
        <w:t xml:space="preserve">Yamauchi, Edwin M. </w:t>
      </w:r>
      <w:r>
        <w:rPr>
          <w:i/>
          <w:iCs/>
        </w:rPr>
        <w:t>Africa and the Bible</w:t>
      </w:r>
      <w:r>
        <w:t>. Grand Rapids: Baker Academic, 2004.</w:t>
      </w:r>
    </w:p>
    <w:p w:rsidR="008E4B08" w:rsidRDefault="00C51EF0">
      <w:pPr>
        <w:spacing w:after="200"/>
        <w:ind w:left="720" w:hanging="720"/>
      </w:pPr>
      <w:r>
        <w:t xml:space="preserve">———. </w:t>
      </w:r>
      <w:r>
        <w:rPr>
          <w:i/>
          <w:iCs/>
        </w:rPr>
        <w:t>The Stones and the Scriptures</w:t>
      </w:r>
      <w:r>
        <w:t>. Philadelphia: Lippincott, 1972.</w:t>
      </w:r>
    </w:p>
    <w:p w:rsidR="008E4B08" w:rsidRDefault="00C51EF0">
      <w:pPr>
        <w:spacing w:after="200"/>
        <w:ind w:left="720" w:hanging="720"/>
      </w:pPr>
      <w:r>
        <w:t xml:space="preserve">Younger, K. Lawson, Jr. </w:t>
      </w:r>
      <w:r>
        <w:rPr>
          <w:i/>
          <w:iCs/>
        </w:rPr>
        <w:t>Ancient Conquest Accounts: A Study in Ancient Near Eastern and Biblical History Writing</w:t>
      </w:r>
      <w:r>
        <w:t xml:space="preserve">. </w:t>
      </w:r>
      <w:proofErr w:type="spellStart"/>
      <w:r>
        <w:t>JSOTSup</w:t>
      </w:r>
      <w:proofErr w:type="spellEnd"/>
      <w:r>
        <w:t xml:space="preserve"> 98. Sheffield: JSOT Press, 1990.</w:t>
      </w:r>
    </w:p>
    <w:p w:rsidR="008E4B08" w:rsidRDefault="00C51EF0">
      <w:pPr>
        <w:spacing w:after="200"/>
        <w:ind w:left="720" w:hanging="720"/>
      </w:pPr>
      <w:proofErr w:type="spellStart"/>
      <w:r>
        <w:t>Zias</w:t>
      </w:r>
      <w:proofErr w:type="spellEnd"/>
      <w:r>
        <w:t xml:space="preserve">, Joseph, and Eliezer </w:t>
      </w:r>
      <w:proofErr w:type="spellStart"/>
      <w:r>
        <w:t>Sekeles</w:t>
      </w:r>
      <w:proofErr w:type="spellEnd"/>
      <w:r>
        <w:t xml:space="preserve">. "The Crucified Man from </w:t>
      </w:r>
      <w:proofErr w:type="spellStart"/>
      <w:r>
        <w:t>Giv'at</w:t>
      </w:r>
      <w:proofErr w:type="spellEnd"/>
      <w:r>
        <w:t xml:space="preserve"> ha-</w:t>
      </w:r>
      <w:proofErr w:type="spellStart"/>
      <w:r>
        <w:t>Mivtar</w:t>
      </w:r>
      <w:proofErr w:type="spellEnd"/>
      <w:r>
        <w:t xml:space="preserve">: A Reappraisal." </w:t>
      </w:r>
      <w:r>
        <w:rPr>
          <w:i/>
          <w:iCs/>
        </w:rPr>
        <w:t>Israel Exploration Journal</w:t>
      </w:r>
      <w:r>
        <w:t xml:space="preserve"> 35 (1985): 22–27.</w:t>
      </w:r>
    </w:p>
    <w:sectPr w:rsidR="008E4B08">
      <w:headerReference w:type="default" r:id="rId8"/>
      <w:footerReference w:type="default" r:id="rId9"/>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979" w:rsidRDefault="003D0979">
      <w:r>
        <w:separator/>
      </w:r>
    </w:p>
  </w:endnote>
  <w:endnote w:type="continuationSeparator" w:id="0">
    <w:p w:rsidR="003D0979" w:rsidRDefault="003D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EF0" w:rsidRDefault="00C51EF0">
    <w:pPr>
      <w:jc w:val="center"/>
    </w:pPr>
    <w:r>
      <w:rPr>
        <w:sz w:val="20"/>
        <w:szCs w:val="20"/>
      </w:rPr>
      <w:fldChar w:fldCharType="begin"/>
    </w:r>
    <w:r>
      <w:rPr>
        <w:sz w:val="20"/>
        <w:szCs w:val="20"/>
      </w:rPr>
      <w:instrText>PAGE</w:instrText>
    </w:r>
    <w:r>
      <w:rPr>
        <w:sz w:val="20"/>
        <w:szCs w:val="20"/>
      </w:rPr>
      <w:fldChar w:fldCharType="separate"/>
    </w:r>
    <w:r w:rsidR="00E0772A">
      <w:rPr>
        <w:noProof/>
        <w:sz w:val="20"/>
        <w:szCs w:val="20"/>
      </w:rPr>
      <w:t>ix</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EF0" w:rsidRDefault="00C51EF0">
    <w:pPr>
      <w:jc w:val="center"/>
    </w:pPr>
    <w:r>
      <w:rPr>
        <w:sz w:val="20"/>
        <w:szCs w:val="20"/>
      </w:rPr>
      <w:fldChar w:fldCharType="begin"/>
    </w:r>
    <w:r>
      <w:rPr>
        <w:sz w:val="20"/>
        <w:szCs w:val="20"/>
      </w:rPr>
      <w:instrText>PAGE</w:instrText>
    </w:r>
    <w:r>
      <w:rPr>
        <w:sz w:val="20"/>
        <w:szCs w:val="20"/>
      </w:rPr>
      <w:fldChar w:fldCharType="separate"/>
    </w:r>
    <w:r w:rsidR="00E0772A">
      <w:rPr>
        <w:noProof/>
        <w:sz w:val="20"/>
        <w:szCs w:val="20"/>
      </w:rPr>
      <w:t>10</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979" w:rsidRDefault="003D0979">
      <w:r>
        <w:separator/>
      </w:r>
    </w:p>
  </w:footnote>
  <w:footnote w:type="continuationSeparator" w:id="0">
    <w:p w:rsidR="003D0979" w:rsidRDefault="003D0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EF0" w:rsidRDefault="00C51EF0" w:rsidP="00D9519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950689"/>
    <w:multiLevelType w:val="hybridMultilevel"/>
    <w:tmpl w:val="DF50BC76"/>
    <w:lvl w:ilvl="0" w:tplc="7A987D26">
      <w:start w:val="1"/>
      <w:numFmt w:val="bullet"/>
      <w:lvlText w:val="●"/>
      <w:lvlJc w:val="left"/>
      <w:pPr>
        <w:ind w:left="720" w:hanging="360"/>
      </w:pPr>
    </w:lvl>
    <w:lvl w:ilvl="1" w:tplc="8E6EA174">
      <w:start w:val="1"/>
      <w:numFmt w:val="bullet"/>
      <w:lvlText w:val="○"/>
      <w:lvlJc w:val="left"/>
      <w:pPr>
        <w:ind w:left="1440" w:hanging="360"/>
      </w:pPr>
    </w:lvl>
    <w:lvl w:ilvl="2" w:tplc="6C9AE0E4">
      <w:start w:val="1"/>
      <w:numFmt w:val="bullet"/>
      <w:lvlText w:val="■"/>
      <w:lvlJc w:val="left"/>
      <w:pPr>
        <w:ind w:left="2160" w:hanging="360"/>
      </w:pPr>
    </w:lvl>
    <w:lvl w:ilvl="3" w:tplc="0CDA494C">
      <w:start w:val="1"/>
      <w:numFmt w:val="bullet"/>
      <w:lvlText w:val="●"/>
      <w:lvlJc w:val="left"/>
      <w:pPr>
        <w:ind w:left="2880" w:hanging="360"/>
      </w:pPr>
    </w:lvl>
    <w:lvl w:ilvl="4" w:tplc="3B26847E">
      <w:start w:val="1"/>
      <w:numFmt w:val="bullet"/>
      <w:lvlText w:val="○"/>
      <w:lvlJc w:val="left"/>
      <w:pPr>
        <w:ind w:left="3600" w:hanging="360"/>
      </w:pPr>
    </w:lvl>
    <w:lvl w:ilvl="5" w:tplc="72A0C9B0">
      <w:start w:val="1"/>
      <w:numFmt w:val="bullet"/>
      <w:lvlText w:val="■"/>
      <w:lvlJc w:val="left"/>
      <w:pPr>
        <w:ind w:left="4320" w:hanging="360"/>
      </w:pPr>
    </w:lvl>
    <w:lvl w:ilvl="6" w:tplc="04E4D98A">
      <w:start w:val="1"/>
      <w:numFmt w:val="bullet"/>
      <w:lvlText w:val="●"/>
      <w:lvlJc w:val="left"/>
      <w:pPr>
        <w:ind w:left="5040" w:hanging="360"/>
      </w:pPr>
    </w:lvl>
    <w:lvl w:ilvl="7" w:tplc="FC3E9444">
      <w:start w:val="1"/>
      <w:numFmt w:val="bullet"/>
      <w:lvlText w:val="●"/>
      <w:lvlJc w:val="left"/>
      <w:pPr>
        <w:ind w:left="5760" w:hanging="360"/>
      </w:pPr>
    </w:lvl>
    <w:lvl w:ilvl="8" w:tplc="97587610">
      <w:start w:val="1"/>
      <w:numFmt w:val="bullet"/>
      <w:lvlText w:val="●"/>
      <w:lvlJc w:val="left"/>
      <w:pPr>
        <w:ind w:left="6480" w:hanging="360"/>
      </w:pPr>
    </w:lvl>
  </w:abstractNum>
  <w:abstractNum w:abstractNumId="1" w15:restartNumberingAfterBreak="0">
    <w:nsid w:val="60294573"/>
    <w:multiLevelType w:val="hybridMultilevel"/>
    <w:tmpl w:val="09A2CDA8"/>
    <w:lvl w:ilvl="0" w:tplc="27F40440">
      <w:start w:val="1"/>
      <w:numFmt w:val="bullet"/>
      <w:lvlText w:val="•"/>
      <w:lvlJc w:val="left"/>
      <w:pPr>
        <w:ind w:left="720" w:hanging="360"/>
      </w:pPr>
    </w:lvl>
    <w:lvl w:ilvl="1" w:tplc="60F4D824">
      <w:numFmt w:val="decimal"/>
      <w:lvlText w:val=""/>
      <w:lvlJc w:val="left"/>
    </w:lvl>
    <w:lvl w:ilvl="2" w:tplc="8DF68D76">
      <w:numFmt w:val="decimal"/>
      <w:lvlText w:val=""/>
      <w:lvlJc w:val="left"/>
    </w:lvl>
    <w:lvl w:ilvl="3" w:tplc="93A49CE6">
      <w:numFmt w:val="decimal"/>
      <w:lvlText w:val=""/>
      <w:lvlJc w:val="left"/>
    </w:lvl>
    <w:lvl w:ilvl="4" w:tplc="9BC69B88">
      <w:numFmt w:val="decimal"/>
      <w:lvlText w:val=""/>
      <w:lvlJc w:val="left"/>
    </w:lvl>
    <w:lvl w:ilvl="5" w:tplc="59185EA8">
      <w:numFmt w:val="decimal"/>
      <w:lvlText w:val=""/>
      <w:lvlJc w:val="left"/>
    </w:lvl>
    <w:lvl w:ilvl="6" w:tplc="E854748E">
      <w:numFmt w:val="decimal"/>
      <w:lvlText w:val=""/>
      <w:lvlJc w:val="left"/>
    </w:lvl>
    <w:lvl w:ilvl="7" w:tplc="F44819D6">
      <w:numFmt w:val="decimal"/>
      <w:lvlText w:val=""/>
      <w:lvlJc w:val="left"/>
    </w:lvl>
    <w:lvl w:ilvl="8" w:tplc="6FAA5622">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B08"/>
    <w:rsid w:val="003D0979"/>
    <w:rsid w:val="008E4B08"/>
    <w:rsid w:val="00C51EF0"/>
    <w:rsid w:val="00D95195"/>
    <w:rsid w:val="00E0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5B914"/>
  <w15:docId w15:val="{CB1C9830-0341-459E-AC9C-F5D737FF4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b/>
      <w:bCs/>
      <w:color w:val="000000"/>
      <w:sz w:val="28"/>
      <w:szCs w:val="28"/>
    </w:rPr>
  </w:style>
  <w:style w:type="paragraph" w:styleId="Heading2">
    <w:name w:val="heading 2"/>
    <w:qFormat/>
    <w:pPr>
      <w:outlineLvl w:val="1"/>
    </w:pPr>
    <w:rPr>
      <w:b/>
      <w:bCs/>
      <w:color w:val="000000"/>
    </w:rPr>
  </w:style>
  <w:style w:type="paragraph" w:styleId="Heading3">
    <w:name w:val="heading 3"/>
    <w:qFormat/>
    <w:pPr>
      <w:outlineLvl w:val="2"/>
    </w:pPr>
    <w:rPr>
      <w:b/>
      <w:bCs/>
      <w:i/>
      <w:iCs/>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C51EF0"/>
    <w:pPr>
      <w:spacing w:after="100"/>
    </w:pPr>
  </w:style>
  <w:style w:type="paragraph" w:styleId="TOC2">
    <w:name w:val="toc 2"/>
    <w:basedOn w:val="Normal"/>
    <w:next w:val="Normal"/>
    <w:autoRedefine/>
    <w:uiPriority w:val="39"/>
    <w:unhideWhenUsed/>
    <w:rsid w:val="00C51EF0"/>
    <w:pPr>
      <w:spacing w:after="100"/>
      <w:ind w:left="240"/>
    </w:pPr>
  </w:style>
  <w:style w:type="paragraph" w:styleId="Header">
    <w:name w:val="header"/>
    <w:basedOn w:val="Normal"/>
    <w:link w:val="HeaderChar"/>
    <w:uiPriority w:val="99"/>
    <w:unhideWhenUsed/>
    <w:rsid w:val="00D95195"/>
    <w:pPr>
      <w:tabs>
        <w:tab w:val="center" w:pos="4680"/>
        <w:tab w:val="right" w:pos="9360"/>
      </w:tabs>
    </w:pPr>
  </w:style>
  <w:style w:type="character" w:customStyle="1" w:styleId="HeaderChar">
    <w:name w:val="Header Char"/>
    <w:basedOn w:val="DefaultParagraphFont"/>
    <w:link w:val="Header"/>
    <w:uiPriority w:val="99"/>
    <w:rsid w:val="00D95195"/>
  </w:style>
  <w:style w:type="paragraph" w:styleId="Footer">
    <w:name w:val="footer"/>
    <w:basedOn w:val="Normal"/>
    <w:link w:val="FooterChar"/>
    <w:uiPriority w:val="99"/>
    <w:unhideWhenUsed/>
    <w:rsid w:val="00D95195"/>
    <w:pPr>
      <w:tabs>
        <w:tab w:val="center" w:pos="4680"/>
        <w:tab w:val="right" w:pos="9360"/>
      </w:tabs>
    </w:pPr>
  </w:style>
  <w:style w:type="character" w:customStyle="1" w:styleId="FooterChar">
    <w:name w:val="Footer Char"/>
    <w:basedOn w:val="DefaultParagraphFont"/>
    <w:link w:val="Footer"/>
    <w:uiPriority w:val="99"/>
    <w:rsid w:val="00D95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146</Pages>
  <Words>38466</Words>
  <Characters>219260</Characters>
  <Application>Microsoft Office Word</Application>
  <DocSecurity>0</DocSecurity>
  <Lines>1827</Lines>
  <Paragraphs>514</Paragraphs>
  <ScaleCrop>false</ScaleCrop>
  <HeadingPairs>
    <vt:vector size="2" baseType="variant">
      <vt:variant>
        <vt:lpstr>Title</vt:lpstr>
      </vt:variant>
      <vt:variant>
        <vt:i4>1</vt:i4>
      </vt:variant>
    </vt:vector>
  </HeadingPairs>
  <TitlesOfParts>
    <vt:vector size="1" baseType="lpstr">
      <vt:lpstr>Archaeology and the Bible: Ph.D. Course Material</vt:lpstr>
    </vt:vector>
  </TitlesOfParts>
  <Company/>
  <LinksUpToDate>false</LinksUpToDate>
  <CharactersWithSpaces>257212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Archaeology and the Bible: Ph.D. Course Material</dc:title>
  <dc:creator>Pastor E. D. Tambou</dc:creator>
  <cp:lastModifiedBy>ACADEMIC PLANNING</cp:lastModifiedBy>
  <cp:revision>3</cp:revision>
  <dcterms:created xsi:type="dcterms:W3CDTF">2026-10-03T14:34:00Z</dcterms:created>
  <dcterms:modified xsi:type="dcterms:W3CDTF">2026-10-03T15:52:00Z</dcterms:modified>
</cp:coreProperties>
</file>